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472"/>
      </w:tblGrid>
      <w:tr w:rsidR="003804F0" w:rsidRPr="00070CB4" w14:paraId="247BBC40" w14:textId="77777777" w:rsidTr="00031B86">
        <w:trPr>
          <w:trHeight w:val="268"/>
        </w:trPr>
        <w:tc>
          <w:tcPr>
            <w:tcW w:w="1548" w:type="dxa"/>
            <w:shd w:val="clear" w:color="auto" w:fill="auto"/>
          </w:tcPr>
          <w:p w14:paraId="7B308944" w14:textId="77777777" w:rsidR="003804F0" w:rsidRPr="00070CB4" w:rsidRDefault="00E56713" w:rsidP="008B049C">
            <w:pPr>
              <w:ind w:left="-90"/>
              <w:rPr>
                <w:rFonts w:ascii="Garamond" w:hAnsi="Garamond"/>
                <w:b/>
                <w:sz w:val="20"/>
                <w:szCs w:val="20"/>
              </w:rPr>
            </w:pPr>
            <w:r w:rsidRPr="00070CB4">
              <w:rPr>
                <w:rFonts w:ascii="Garamond" w:hAnsi="Garamond"/>
              </w:rPr>
              <w:br w:type="page"/>
            </w:r>
          </w:p>
        </w:tc>
        <w:tc>
          <w:tcPr>
            <w:tcW w:w="9342" w:type="dxa"/>
            <w:gridSpan w:val="2"/>
            <w:shd w:val="clear" w:color="auto" w:fill="auto"/>
          </w:tcPr>
          <w:p w14:paraId="100EFB27" w14:textId="77777777" w:rsidR="003804F0" w:rsidRPr="00070CB4" w:rsidRDefault="003804F0" w:rsidP="008B049C">
            <w:pPr>
              <w:ind w:left="-90"/>
              <w:rPr>
                <w:rFonts w:ascii="Garamond" w:hAnsi="Garamond" w:cs="Arial"/>
                <w:b/>
                <w:sz w:val="20"/>
                <w:szCs w:val="20"/>
              </w:rPr>
            </w:pPr>
          </w:p>
          <w:p w14:paraId="06651D9C" w14:textId="4AFC7475" w:rsidR="003804F0" w:rsidRPr="00070CB4" w:rsidRDefault="008169C2" w:rsidP="001E4C36">
            <w:pPr>
              <w:ind w:left="-90"/>
              <w:rPr>
                <w:rFonts w:ascii="Garamond" w:hAnsi="Garamond" w:cs="Arial"/>
                <w:b/>
                <w:sz w:val="24"/>
                <w:szCs w:val="24"/>
              </w:rPr>
            </w:pPr>
            <w:r w:rsidRPr="00070CB4">
              <w:rPr>
                <w:rFonts w:ascii="Garamond" w:hAnsi="Garamond" w:cs="Arial"/>
                <w:b/>
                <w:sz w:val="24"/>
                <w:szCs w:val="24"/>
              </w:rPr>
              <w:t>RF</w:t>
            </w:r>
            <w:r w:rsidR="00FE2FF3" w:rsidRPr="00070CB4">
              <w:rPr>
                <w:rFonts w:ascii="Garamond" w:hAnsi="Garamond" w:cs="Arial"/>
                <w:b/>
                <w:sz w:val="24"/>
                <w:szCs w:val="24"/>
              </w:rPr>
              <w:t>P</w:t>
            </w:r>
            <w:r w:rsidRPr="00070CB4">
              <w:rPr>
                <w:rFonts w:ascii="Garamond" w:hAnsi="Garamond" w:cs="Arial"/>
                <w:b/>
                <w:sz w:val="24"/>
                <w:szCs w:val="24"/>
              </w:rPr>
              <w:t>-</w:t>
            </w:r>
            <w:bookmarkStart w:id="0" w:name="_Hlk513441801"/>
            <w:r w:rsidR="00D66B56">
              <w:rPr>
                <w:rFonts w:ascii="Garamond" w:hAnsi="Garamond" w:cs="Arial"/>
                <w:b/>
                <w:sz w:val="24"/>
                <w:szCs w:val="24"/>
              </w:rPr>
              <w:t>2</w:t>
            </w:r>
            <w:r w:rsidR="00776E0B">
              <w:rPr>
                <w:rFonts w:ascii="Garamond" w:hAnsi="Garamond" w:cs="Arial"/>
                <w:b/>
                <w:sz w:val="24"/>
                <w:szCs w:val="24"/>
              </w:rPr>
              <w:t>1</w:t>
            </w:r>
            <w:r w:rsidR="00D66B56">
              <w:rPr>
                <w:rFonts w:ascii="Garamond" w:hAnsi="Garamond" w:cs="Arial"/>
                <w:b/>
                <w:sz w:val="24"/>
                <w:szCs w:val="24"/>
              </w:rPr>
              <w:t>-1076</w:t>
            </w:r>
            <w:r w:rsidR="001E4C36" w:rsidRPr="00070CB4">
              <w:rPr>
                <w:rFonts w:ascii="Garamond" w:hAnsi="Garamond" w:cs="Arial"/>
                <w:b/>
                <w:sz w:val="24"/>
                <w:szCs w:val="24"/>
              </w:rPr>
              <w:t xml:space="preserve"> </w:t>
            </w:r>
            <w:r w:rsidR="00776B4F" w:rsidRPr="00070CB4">
              <w:rPr>
                <w:rFonts w:ascii="Garamond" w:hAnsi="Garamond" w:cs="Arial"/>
                <w:b/>
                <w:sz w:val="24"/>
                <w:szCs w:val="24"/>
              </w:rPr>
              <w:t>–</w:t>
            </w:r>
            <w:r w:rsidR="000B5C64" w:rsidRPr="00070CB4">
              <w:rPr>
                <w:rFonts w:ascii="Garamond" w:hAnsi="Garamond" w:cs="Arial"/>
                <w:b/>
                <w:sz w:val="24"/>
                <w:szCs w:val="24"/>
              </w:rPr>
              <w:t xml:space="preserve"> </w:t>
            </w:r>
            <w:bookmarkEnd w:id="0"/>
            <w:r w:rsidR="00D66B56">
              <w:rPr>
                <w:rFonts w:ascii="Garamond" w:hAnsi="Garamond" w:cs="Arial"/>
                <w:b/>
                <w:sz w:val="24"/>
                <w:szCs w:val="24"/>
              </w:rPr>
              <w:t xml:space="preserve">Compliance Evaluation and Strategic Plan Development: Workforce Development Monitoring </w:t>
            </w:r>
            <w:r w:rsidR="00AA0BF2" w:rsidRPr="00070CB4">
              <w:rPr>
                <w:rFonts w:ascii="Garamond" w:hAnsi="Garamond" w:cs="Arial"/>
                <w:b/>
                <w:sz w:val="24"/>
                <w:szCs w:val="24"/>
              </w:rPr>
              <w:t>–</w:t>
            </w:r>
            <w:r w:rsidR="00AD7EC6" w:rsidRPr="00070CB4">
              <w:rPr>
                <w:rFonts w:ascii="Garamond" w:hAnsi="Garamond" w:cs="Arial"/>
                <w:b/>
                <w:sz w:val="24"/>
                <w:szCs w:val="24"/>
              </w:rPr>
              <w:t xml:space="preserve"> </w:t>
            </w:r>
            <w:r w:rsidR="008F14C0" w:rsidRPr="00070CB4">
              <w:rPr>
                <w:rFonts w:ascii="Garamond" w:hAnsi="Garamond" w:cs="Arial"/>
                <w:b/>
                <w:sz w:val="24"/>
                <w:szCs w:val="24"/>
              </w:rPr>
              <w:t>Attachment</w:t>
            </w:r>
            <w:r w:rsidR="00581D47" w:rsidRPr="00070CB4">
              <w:rPr>
                <w:rFonts w:ascii="Garamond" w:hAnsi="Garamond" w:cs="Arial"/>
                <w:b/>
                <w:sz w:val="24"/>
                <w:szCs w:val="24"/>
              </w:rPr>
              <w:t xml:space="preserve"> F </w:t>
            </w:r>
            <w:r w:rsidR="00531F86" w:rsidRPr="00070CB4">
              <w:rPr>
                <w:rFonts w:ascii="Garamond" w:hAnsi="Garamond" w:cs="Arial"/>
                <w:b/>
                <w:sz w:val="24"/>
                <w:szCs w:val="24"/>
              </w:rPr>
              <w:t>–</w:t>
            </w:r>
            <w:r w:rsidR="00581D47" w:rsidRPr="00070CB4">
              <w:rPr>
                <w:rFonts w:ascii="Garamond" w:hAnsi="Garamond" w:cs="Arial"/>
                <w:b/>
                <w:sz w:val="24"/>
                <w:szCs w:val="24"/>
              </w:rPr>
              <w:t xml:space="preserve"> </w:t>
            </w:r>
            <w:r w:rsidR="00594B09" w:rsidRPr="00070CB4">
              <w:rPr>
                <w:rFonts w:ascii="Garamond" w:hAnsi="Garamond" w:cs="Arial"/>
                <w:b/>
                <w:sz w:val="24"/>
                <w:szCs w:val="24"/>
              </w:rPr>
              <w:t>Technical</w:t>
            </w:r>
            <w:r w:rsidR="003804F0" w:rsidRPr="00070CB4">
              <w:rPr>
                <w:rFonts w:ascii="Garamond" w:hAnsi="Garamond" w:cs="Arial"/>
                <w:b/>
                <w:sz w:val="24"/>
                <w:szCs w:val="24"/>
              </w:rPr>
              <w:t xml:space="preserve"> Proposal</w:t>
            </w:r>
          </w:p>
          <w:p w14:paraId="29C5CDFA" w14:textId="4B513B84" w:rsidR="00B477DB" w:rsidRPr="00070CB4" w:rsidRDefault="00B477DB" w:rsidP="001E4C36">
            <w:pPr>
              <w:ind w:left="-90"/>
              <w:rPr>
                <w:rFonts w:ascii="Garamond" w:hAnsi="Garamond" w:cs="Arial"/>
                <w:b/>
                <w:sz w:val="20"/>
                <w:szCs w:val="20"/>
              </w:rPr>
            </w:pPr>
          </w:p>
        </w:tc>
      </w:tr>
      <w:tr w:rsidR="003804F0" w:rsidRPr="00070CB4" w14:paraId="16131F9C" w14:textId="77777777" w:rsidTr="00031B86">
        <w:trPr>
          <w:trHeight w:val="268"/>
        </w:trPr>
        <w:tc>
          <w:tcPr>
            <w:tcW w:w="5418" w:type="dxa"/>
            <w:gridSpan w:val="2"/>
            <w:tcBorders>
              <w:right w:val="single" w:sz="4" w:space="0" w:color="auto"/>
            </w:tcBorders>
            <w:shd w:val="clear" w:color="auto" w:fill="auto"/>
            <w:vAlign w:val="center"/>
          </w:tcPr>
          <w:p w14:paraId="39F1A137" w14:textId="77777777" w:rsidR="003804F0" w:rsidRPr="00070CB4" w:rsidRDefault="003804F0" w:rsidP="008741ED">
            <w:pPr>
              <w:jc w:val="right"/>
              <w:rPr>
                <w:rFonts w:ascii="Garamond" w:hAnsi="Garamond" w:cs="Arial"/>
                <w:b/>
                <w:sz w:val="20"/>
                <w:szCs w:val="20"/>
              </w:rPr>
            </w:pPr>
            <w:r w:rsidRPr="000C7254">
              <w:rPr>
                <w:rFonts w:ascii="Garamond" w:hAnsi="Garamond" w:cs="Arial"/>
                <w:b/>
                <w:sz w:val="24"/>
                <w:szCs w:val="24"/>
              </w:rPr>
              <w:t>Respondent:</w:t>
            </w:r>
          </w:p>
        </w:tc>
        <w:tc>
          <w:tcPr>
            <w:tcW w:w="5472" w:type="dxa"/>
            <w:tcBorders>
              <w:top w:val="single" w:sz="4" w:space="0" w:color="auto"/>
              <w:left w:val="single" w:sz="4" w:space="0" w:color="auto"/>
              <w:bottom w:val="single" w:sz="4" w:space="0" w:color="auto"/>
              <w:right w:val="single" w:sz="4" w:space="0" w:color="auto"/>
            </w:tcBorders>
            <w:shd w:val="clear" w:color="auto" w:fill="FFFF99"/>
            <w:vAlign w:val="center"/>
          </w:tcPr>
          <w:p w14:paraId="05C29D24" w14:textId="3B41A063" w:rsidR="003804F0" w:rsidRPr="00070CB4" w:rsidRDefault="008458A1" w:rsidP="008B049C">
            <w:pPr>
              <w:jc w:val="center"/>
              <w:rPr>
                <w:rFonts w:ascii="Garamond" w:hAnsi="Garamond" w:cs="Arial"/>
                <w:sz w:val="20"/>
                <w:szCs w:val="20"/>
              </w:rPr>
            </w:pPr>
            <w:r>
              <w:rPr>
                <w:rFonts w:ascii="Garamond" w:hAnsi="Garamond" w:cs="Arial"/>
                <w:sz w:val="20"/>
                <w:szCs w:val="20"/>
              </w:rPr>
              <w:t>PCG-Indiana</w:t>
            </w:r>
          </w:p>
        </w:tc>
      </w:tr>
    </w:tbl>
    <w:p w14:paraId="299BA6B9" w14:textId="58F0B932" w:rsidR="006E1D53" w:rsidRDefault="006E1D53" w:rsidP="00790759">
      <w:pPr>
        <w:spacing w:after="0"/>
        <w:rPr>
          <w:rFonts w:ascii="Garamond" w:hAnsi="Garamond"/>
          <w:sz w:val="24"/>
          <w:szCs w:val="24"/>
        </w:rPr>
      </w:pPr>
    </w:p>
    <w:p w14:paraId="25FD9985" w14:textId="2F1BF1B1" w:rsidR="00194DD8" w:rsidRDefault="00CC00C7" w:rsidP="00790759">
      <w:pPr>
        <w:spacing w:after="0"/>
        <w:rPr>
          <w:rFonts w:ascii="Garamond" w:hAnsi="Garamond"/>
          <w:sz w:val="24"/>
          <w:szCs w:val="24"/>
        </w:rPr>
      </w:pPr>
      <w:r w:rsidRPr="00CC00C7">
        <w:rPr>
          <w:rFonts w:ascii="Garamond" w:hAnsi="Garamond"/>
          <w:b/>
          <w:sz w:val="24"/>
          <w:szCs w:val="24"/>
        </w:rPr>
        <w:t xml:space="preserve">Instructions: </w:t>
      </w:r>
      <w:r w:rsidRPr="00CC00C7">
        <w:rPr>
          <w:rFonts w:ascii="Garamond" w:hAnsi="Garamond"/>
          <w:sz w:val="24"/>
          <w:szCs w:val="24"/>
        </w:rPr>
        <w:t>Respondent shall provide a written response to each of the questions listed below in the yellow text box. When stated, responses shall include all minimum response requirements and clearly indicate the applicable sub-bullet (e.g., a., b., c.) for all provided descriptions.</w:t>
      </w:r>
    </w:p>
    <w:p w14:paraId="32923CD8" w14:textId="77777777" w:rsidR="00CC00C7" w:rsidRDefault="00CC00C7" w:rsidP="00790759">
      <w:pPr>
        <w:spacing w:after="0"/>
        <w:rPr>
          <w:rFonts w:ascii="Garamond" w:hAnsi="Garamond"/>
          <w:sz w:val="24"/>
          <w:szCs w:val="24"/>
        </w:rPr>
      </w:pPr>
    </w:p>
    <w:p w14:paraId="62C1AA69" w14:textId="77777777" w:rsidR="00194DD8" w:rsidRPr="00194DD8" w:rsidRDefault="00194DD8" w:rsidP="00E038C3">
      <w:pPr>
        <w:numPr>
          <w:ilvl w:val="2"/>
          <w:numId w:val="4"/>
        </w:numPr>
        <w:spacing w:after="0"/>
        <w:rPr>
          <w:rFonts w:ascii="Garamond" w:hAnsi="Garamond"/>
          <w:b/>
          <w:iCs/>
          <w:sz w:val="24"/>
          <w:szCs w:val="24"/>
        </w:rPr>
      </w:pPr>
      <w:r w:rsidRPr="00194DD8">
        <w:rPr>
          <w:rFonts w:ascii="Garamond" w:hAnsi="Garamond"/>
          <w:b/>
          <w:iCs/>
          <w:sz w:val="24"/>
          <w:szCs w:val="24"/>
        </w:rPr>
        <w:t>Applicant Qualifications and Demonstrated Effectiveness</w:t>
      </w:r>
    </w:p>
    <w:p w14:paraId="3AB361CD" w14:textId="267900E8" w:rsidR="00194DD8" w:rsidRDefault="00194DD8" w:rsidP="00E038C3">
      <w:pPr>
        <w:numPr>
          <w:ilvl w:val="0"/>
          <w:numId w:val="2"/>
        </w:numPr>
        <w:spacing w:after="0"/>
        <w:rPr>
          <w:rFonts w:ascii="Garamond" w:hAnsi="Garamond"/>
          <w:bCs/>
          <w:iCs/>
          <w:sz w:val="24"/>
          <w:szCs w:val="24"/>
        </w:rPr>
      </w:pPr>
      <w:r w:rsidRPr="00194DD8">
        <w:rPr>
          <w:rFonts w:ascii="Garamond" w:hAnsi="Garamond"/>
          <w:bCs/>
          <w:iCs/>
          <w:sz w:val="24"/>
          <w:szCs w:val="24"/>
        </w:rPr>
        <w:t>Please describe in detail the proposer’s experience in providing compliance monitoring strategic planning or related services as outlined in the scope of work. Include information to demonstrate your organization’s capability to carry out the services proposed. Include the nature of the services provided, scope of activities,</w:t>
      </w:r>
      <w:r w:rsidR="002A2841">
        <w:rPr>
          <w:rFonts w:ascii="Garamond" w:hAnsi="Garamond"/>
          <w:bCs/>
          <w:iCs/>
          <w:sz w:val="24"/>
          <w:szCs w:val="24"/>
        </w:rPr>
        <w:t xml:space="preserve"> timeframe,</w:t>
      </w:r>
      <w:r w:rsidRPr="00194DD8">
        <w:rPr>
          <w:rFonts w:ascii="Garamond" w:hAnsi="Garamond"/>
          <w:bCs/>
          <w:iCs/>
          <w:sz w:val="24"/>
          <w:szCs w:val="24"/>
        </w:rPr>
        <w:t xml:space="preserve"> and the organization for which the service was provided.</w:t>
      </w:r>
    </w:p>
    <w:tbl>
      <w:tblPr>
        <w:tblStyle w:val="TableGrid"/>
        <w:tblW w:w="0" w:type="auto"/>
        <w:tblInd w:w="1080" w:type="dxa"/>
        <w:tblLook w:val="04A0" w:firstRow="1" w:lastRow="0" w:firstColumn="1" w:lastColumn="0" w:noHBand="0" w:noVBand="1"/>
      </w:tblPr>
      <w:tblGrid>
        <w:gridCol w:w="9710"/>
      </w:tblGrid>
      <w:tr w:rsidR="00194DD8" w14:paraId="60D6DE59" w14:textId="77777777" w:rsidTr="00194DD8">
        <w:tc>
          <w:tcPr>
            <w:tcW w:w="10790" w:type="dxa"/>
            <w:shd w:val="clear" w:color="auto" w:fill="FFFF99"/>
          </w:tcPr>
          <w:p w14:paraId="1252CAB2" w14:textId="37219E76" w:rsidR="0079707E" w:rsidRPr="005C063E" w:rsidRDefault="00FB4D77" w:rsidP="000E74AA">
            <w:pPr>
              <w:widowControl w:val="0"/>
              <w:pBdr>
                <w:top w:val="nil"/>
                <w:left w:val="nil"/>
                <w:bottom w:val="nil"/>
                <w:right w:val="nil"/>
                <w:between w:val="nil"/>
              </w:pBdr>
              <w:ind w:right="52"/>
              <w:contextualSpacing/>
              <w:rPr>
                <w:rFonts w:ascii="Times New Roman" w:eastAsia="Arial" w:hAnsi="Times New Roman" w:cs="Times New Roman"/>
                <w:color w:val="000000"/>
                <w:sz w:val="24"/>
                <w:szCs w:val="24"/>
              </w:rPr>
            </w:pPr>
            <w:bookmarkStart w:id="1" w:name="_Hlk35856350"/>
            <w:r w:rsidRPr="005C063E">
              <w:rPr>
                <w:rFonts w:ascii="Times New Roman" w:eastAsia="Arial" w:hAnsi="Times New Roman" w:cs="Times New Roman"/>
                <w:color w:val="000000"/>
                <w:sz w:val="24"/>
                <w:szCs w:val="24"/>
              </w:rPr>
              <w:t>PC</w:t>
            </w:r>
            <w:r w:rsidR="0079707E" w:rsidRPr="005C063E">
              <w:rPr>
                <w:rFonts w:ascii="Times New Roman" w:eastAsia="Arial" w:hAnsi="Times New Roman" w:cs="Times New Roman"/>
                <w:color w:val="000000"/>
                <w:sz w:val="24"/>
                <w:szCs w:val="24"/>
              </w:rPr>
              <w:t xml:space="preserve">G has experience providing both program and fiscal subrecipient monitoring for workforce and human services agencies nationwide. PCG has provided workforce programmatic monitoring services for the last 20 years in five workforce regions in Florida, four workforce regions in Texas, and in partnership with workforce systems in Wisconsin, Nebraska, Tennessee and Arkansas. </w:t>
            </w:r>
          </w:p>
          <w:p w14:paraId="1FC8F3F4" w14:textId="77777777" w:rsidR="005E40AF" w:rsidRPr="005C063E" w:rsidRDefault="005E40AF" w:rsidP="000E74AA">
            <w:pPr>
              <w:widowControl w:val="0"/>
              <w:pBdr>
                <w:top w:val="nil"/>
                <w:left w:val="nil"/>
                <w:bottom w:val="nil"/>
                <w:right w:val="nil"/>
                <w:between w:val="nil"/>
              </w:pBdr>
              <w:ind w:right="52"/>
              <w:contextualSpacing/>
              <w:rPr>
                <w:rFonts w:ascii="Times New Roman" w:eastAsia="Arial" w:hAnsi="Times New Roman" w:cs="Times New Roman"/>
                <w:color w:val="000000"/>
                <w:sz w:val="24"/>
                <w:szCs w:val="24"/>
              </w:rPr>
            </w:pPr>
          </w:p>
          <w:p w14:paraId="0D36C0CB" w14:textId="7B439E5F" w:rsidR="0079707E" w:rsidRPr="005C063E" w:rsidRDefault="0079707E" w:rsidP="000E74AA">
            <w:pPr>
              <w:widowControl w:val="0"/>
              <w:pBdr>
                <w:top w:val="nil"/>
                <w:left w:val="nil"/>
                <w:bottom w:val="nil"/>
                <w:right w:val="nil"/>
                <w:between w:val="nil"/>
              </w:pBdr>
              <w:ind w:right="52"/>
              <w:contextualSpacing/>
              <w:rPr>
                <w:rFonts w:ascii="Times New Roman" w:eastAsia="Arial" w:hAnsi="Times New Roman" w:cs="Times New Roman"/>
                <w:color w:val="000000"/>
                <w:sz w:val="24"/>
                <w:szCs w:val="24"/>
              </w:rPr>
            </w:pPr>
            <w:r w:rsidRPr="005C063E">
              <w:rPr>
                <w:rFonts w:ascii="Times New Roman" w:eastAsia="Arial" w:hAnsi="Times New Roman" w:cs="Times New Roman"/>
                <w:color w:val="000000"/>
                <w:sz w:val="24"/>
                <w:szCs w:val="24"/>
              </w:rPr>
              <w:t xml:space="preserve">PCG has analyzed compliance policies and procedures to support grants management and compliance for state agencies in Massachusetts, Missouri, and Rhode Island. PCG’s focus has been to help our clients improve their compliance to federal and state regulatory requirements, fulfill their contractual obligations, and improve performance to common employment measures such as entered employment and retention rates. </w:t>
            </w:r>
          </w:p>
          <w:p w14:paraId="6C1F8E55" w14:textId="77777777" w:rsidR="005E40AF" w:rsidRPr="005C063E" w:rsidRDefault="005E40AF" w:rsidP="000E74AA">
            <w:pPr>
              <w:widowControl w:val="0"/>
              <w:pBdr>
                <w:top w:val="nil"/>
                <w:left w:val="nil"/>
                <w:bottom w:val="nil"/>
                <w:right w:val="nil"/>
                <w:between w:val="nil"/>
              </w:pBdr>
              <w:ind w:right="52"/>
              <w:contextualSpacing/>
              <w:rPr>
                <w:rFonts w:ascii="Times New Roman" w:eastAsia="Arial" w:hAnsi="Times New Roman" w:cs="Times New Roman"/>
                <w:color w:val="000000"/>
                <w:sz w:val="24"/>
                <w:szCs w:val="24"/>
              </w:rPr>
            </w:pPr>
          </w:p>
          <w:p w14:paraId="088EF315" w14:textId="77777777" w:rsidR="0079707E" w:rsidRPr="005C063E" w:rsidRDefault="0079707E" w:rsidP="000E74AA">
            <w:pPr>
              <w:widowControl w:val="0"/>
              <w:pBdr>
                <w:top w:val="nil"/>
                <w:left w:val="nil"/>
                <w:bottom w:val="nil"/>
                <w:right w:val="nil"/>
                <w:between w:val="nil"/>
              </w:pBdr>
              <w:ind w:right="52"/>
              <w:contextualSpacing/>
              <w:rPr>
                <w:rFonts w:ascii="Times New Roman" w:eastAsia="Arial" w:hAnsi="Times New Roman" w:cs="Times New Roman"/>
                <w:color w:val="000000"/>
                <w:sz w:val="24"/>
                <w:szCs w:val="24"/>
              </w:rPr>
            </w:pPr>
            <w:r w:rsidRPr="005C063E">
              <w:rPr>
                <w:rFonts w:ascii="Times New Roman" w:eastAsia="Arial" w:hAnsi="Times New Roman" w:cs="Times New Roman"/>
                <w:color w:val="000000"/>
                <w:sz w:val="24"/>
                <w:szCs w:val="24"/>
              </w:rPr>
              <w:t xml:space="preserve">PCG has also supported Workforce Development Boards, nonprofits, and state agencies in the development of strategic plans, updated policies, and procedure manuals. </w:t>
            </w:r>
          </w:p>
          <w:p w14:paraId="38CA7057" w14:textId="5BB63B10" w:rsidR="009669D8" w:rsidRPr="005C063E" w:rsidRDefault="0079707E" w:rsidP="000E74AA">
            <w:pPr>
              <w:widowControl w:val="0"/>
              <w:pBdr>
                <w:top w:val="nil"/>
                <w:left w:val="nil"/>
                <w:bottom w:val="nil"/>
                <w:right w:val="nil"/>
                <w:between w:val="nil"/>
              </w:pBdr>
              <w:ind w:right="52"/>
              <w:contextualSpacing/>
              <w:rPr>
                <w:rFonts w:ascii="Times New Roman" w:eastAsia="Arial" w:hAnsi="Times New Roman" w:cs="Times New Roman"/>
                <w:color w:val="000000"/>
                <w:sz w:val="24"/>
                <w:szCs w:val="24"/>
              </w:rPr>
            </w:pPr>
            <w:r w:rsidRPr="005C063E">
              <w:rPr>
                <w:rFonts w:ascii="Times New Roman" w:eastAsia="Arial" w:hAnsi="Times New Roman" w:cs="Times New Roman"/>
                <w:color w:val="000000"/>
                <w:sz w:val="24"/>
                <w:szCs w:val="24"/>
              </w:rPr>
              <w:t>PCG’s experience providing the services outlined in this scope of work is described below. The projects are organized into the following sections:</w:t>
            </w:r>
            <w:r w:rsidRPr="005C063E">
              <w:rPr>
                <w:rFonts w:ascii="Times New Roman" w:eastAsia="Arial" w:hAnsi="Times New Roman" w:cs="Times New Roman"/>
                <w:b/>
                <w:color w:val="000000"/>
                <w:sz w:val="24"/>
                <w:szCs w:val="24"/>
              </w:rPr>
              <w:t xml:space="preserve"> 1) Compliance and Monitoring Experience</w:t>
            </w:r>
            <w:r w:rsidRPr="005C063E">
              <w:rPr>
                <w:rFonts w:ascii="Times New Roman" w:eastAsia="Arial" w:hAnsi="Times New Roman" w:cs="Times New Roman"/>
                <w:color w:val="000000"/>
                <w:sz w:val="24"/>
                <w:szCs w:val="24"/>
              </w:rPr>
              <w:t xml:space="preserve"> and </w:t>
            </w:r>
            <w:r w:rsidRPr="005C063E">
              <w:rPr>
                <w:rFonts w:ascii="Times New Roman" w:eastAsia="Arial" w:hAnsi="Times New Roman" w:cs="Times New Roman"/>
                <w:b/>
                <w:color w:val="000000"/>
                <w:sz w:val="24"/>
                <w:szCs w:val="24"/>
              </w:rPr>
              <w:t>2) Strategic Planning Experience</w:t>
            </w:r>
            <w:r w:rsidRPr="005C063E">
              <w:rPr>
                <w:rFonts w:ascii="Times New Roman" w:eastAsia="Arial" w:hAnsi="Times New Roman" w:cs="Times New Roman"/>
                <w:color w:val="000000"/>
                <w:sz w:val="24"/>
                <w:szCs w:val="24"/>
              </w:rPr>
              <w:t>. The projects highlight expertise in:</w:t>
            </w:r>
          </w:p>
          <w:p w14:paraId="583982A7" w14:textId="77777777"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Workforce Programs</w:t>
            </w:r>
          </w:p>
          <w:p w14:paraId="31562599" w14:textId="77777777"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Fiscal and Program Monitoring</w:t>
            </w:r>
          </w:p>
          <w:p w14:paraId="50ED2BC2" w14:textId="77777777"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Compliance and Performance Monitoring</w:t>
            </w:r>
          </w:p>
          <w:p w14:paraId="35B48EC3" w14:textId="77777777"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Policy &amp; Procedure Development</w:t>
            </w:r>
          </w:p>
          <w:p w14:paraId="6AD5AE25" w14:textId="77777777"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Grant Compliance, Grant Writing, and Grant Coordination</w:t>
            </w:r>
          </w:p>
          <w:p w14:paraId="2286C372" w14:textId="77777777"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Financial Management, Budgeting, Invoicing, &amp; Subrecipient Monitoring</w:t>
            </w:r>
          </w:p>
          <w:p w14:paraId="2704A596" w14:textId="77777777" w:rsidR="0079707E" w:rsidRPr="005C063E" w:rsidRDefault="0079707E" w:rsidP="00E038C3">
            <w:pPr>
              <w:pStyle w:val="ListParagraph"/>
              <w:numPr>
                <w:ilvl w:val="0"/>
                <w:numId w:val="14"/>
              </w:numPr>
              <w:spacing w:line="259" w:lineRule="auto"/>
              <w:rPr>
                <w:rFonts w:ascii="Times New Roman" w:hAnsi="Times New Roman"/>
                <w:sz w:val="24"/>
                <w:szCs w:val="24"/>
              </w:rPr>
            </w:pPr>
            <w:r w:rsidRPr="005C063E">
              <w:rPr>
                <w:rFonts w:ascii="Times New Roman" w:eastAsia="Arial" w:hAnsi="Times New Roman"/>
                <w:sz w:val="24"/>
                <w:szCs w:val="24"/>
              </w:rPr>
              <w:t>Business Process Design</w:t>
            </w:r>
          </w:p>
          <w:p w14:paraId="785135AB" w14:textId="5011EC75" w:rsidR="0079707E" w:rsidRPr="005C063E" w:rsidRDefault="0079707E" w:rsidP="00E038C3">
            <w:pPr>
              <w:pStyle w:val="ListParagraph"/>
              <w:widowControl w:val="0"/>
              <w:numPr>
                <w:ilvl w:val="0"/>
                <w:numId w:val="14"/>
              </w:numPr>
              <w:pBdr>
                <w:top w:val="nil"/>
                <w:left w:val="nil"/>
                <w:bottom w:val="nil"/>
                <w:right w:val="nil"/>
                <w:between w:val="nil"/>
              </w:pBdr>
              <w:spacing w:line="259" w:lineRule="auto"/>
              <w:ind w:right="52"/>
              <w:rPr>
                <w:rFonts w:ascii="Times New Roman" w:eastAsia="Arial" w:hAnsi="Times New Roman"/>
                <w:sz w:val="24"/>
                <w:szCs w:val="24"/>
              </w:rPr>
            </w:pPr>
            <w:r w:rsidRPr="005C063E">
              <w:rPr>
                <w:rFonts w:ascii="Times New Roman" w:eastAsia="Arial" w:hAnsi="Times New Roman"/>
                <w:sz w:val="24"/>
                <w:szCs w:val="24"/>
              </w:rPr>
              <w:t>Strategic Planning and Implementation</w:t>
            </w:r>
          </w:p>
          <w:p w14:paraId="5AA92529" w14:textId="77777777" w:rsidR="000E74AA" w:rsidRPr="005C063E" w:rsidRDefault="000E74AA" w:rsidP="000E74AA">
            <w:pPr>
              <w:widowControl w:val="0"/>
              <w:pBdr>
                <w:top w:val="nil"/>
                <w:left w:val="nil"/>
                <w:bottom w:val="nil"/>
                <w:right w:val="nil"/>
                <w:between w:val="nil"/>
              </w:pBdr>
              <w:spacing w:line="259" w:lineRule="auto"/>
              <w:ind w:right="52"/>
              <w:rPr>
                <w:rFonts w:ascii="Times New Roman" w:eastAsia="Arial" w:hAnsi="Times New Roman" w:cs="Times New Roman"/>
                <w:sz w:val="24"/>
                <w:szCs w:val="24"/>
              </w:rPr>
            </w:pPr>
          </w:p>
          <w:p w14:paraId="7620913F" w14:textId="73683A0D" w:rsidR="009669D8" w:rsidRPr="005C063E" w:rsidRDefault="0079707E" w:rsidP="000E74AA">
            <w:pPr>
              <w:widowControl w:val="0"/>
              <w:pBdr>
                <w:top w:val="nil"/>
                <w:left w:val="nil"/>
                <w:bottom w:val="nil"/>
                <w:right w:val="nil"/>
                <w:between w:val="nil"/>
              </w:pBdr>
              <w:ind w:right="52"/>
              <w:contextualSpacing/>
              <w:rPr>
                <w:rFonts w:ascii="Times New Roman" w:eastAsia="Arial" w:hAnsi="Times New Roman" w:cs="Times New Roman"/>
                <w:b/>
                <w:color w:val="000000"/>
                <w:sz w:val="24"/>
                <w:szCs w:val="24"/>
                <w:u w:val="single"/>
              </w:rPr>
            </w:pPr>
            <w:r w:rsidRPr="005C063E">
              <w:rPr>
                <w:rFonts w:ascii="Times New Roman" w:eastAsia="Arial" w:hAnsi="Times New Roman" w:cs="Times New Roman"/>
                <w:b/>
                <w:color w:val="000000"/>
                <w:sz w:val="24"/>
                <w:szCs w:val="24"/>
                <w:u w:val="single"/>
              </w:rPr>
              <w:t>Compliance and Monitoring Experience:</w:t>
            </w:r>
          </w:p>
          <w:p w14:paraId="0087F4AC" w14:textId="77777777" w:rsidR="009669D8" w:rsidRPr="005C063E" w:rsidRDefault="009669D8" w:rsidP="000E74AA">
            <w:pPr>
              <w:widowControl w:val="0"/>
              <w:pBdr>
                <w:top w:val="nil"/>
                <w:left w:val="nil"/>
                <w:bottom w:val="nil"/>
                <w:right w:val="nil"/>
                <w:between w:val="nil"/>
              </w:pBdr>
              <w:ind w:right="52"/>
              <w:contextualSpacing/>
              <w:rPr>
                <w:rFonts w:ascii="Times New Roman" w:eastAsia="Arial" w:hAnsi="Times New Roman" w:cs="Times New Roman"/>
                <w:b/>
                <w:color w:val="000000"/>
                <w:sz w:val="24"/>
                <w:szCs w:val="24"/>
                <w:u w:val="single"/>
              </w:rPr>
            </w:pPr>
          </w:p>
          <w:p w14:paraId="29C24A8A"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Workforce Solutions Capital Area, Austin, Texas</w:t>
            </w:r>
          </w:p>
          <w:p w14:paraId="1DB263C1"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Project: </w:t>
            </w:r>
            <w:r w:rsidRPr="005C063E">
              <w:rPr>
                <w:rFonts w:ascii="Times New Roman" w:eastAsia="Arial" w:hAnsi="Times New Roman" w:cs="Times New Roman"/>
                <w:b/>
                <w:bCs/>
                <w:sz w:val="24"/>
                <w:szCs w:val="24"/>
              </w:rPr>
              <w:t>Workforce Program Monitoring</w:t>
            </w:r>
          </w:p>
          <w:p w14:paraId="5FA9B1DC"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Expertise: </w:t>
            </w:r>
            <w:r w:rsidRPr="005C063E">
              <w:rPr>
                <w:rFonts w:ascii="Times New Roman" w:eastAsia="Arial" w:hAnsi="Times New Roman" w:cs="Times New Roman"/>
                <w:b/>
                <w:bCs/>
                <w:sz w:val="24"/>
                <w:szCs w:val="24"/>
              </w:rPr>
              <w:t>Workforce Program Monitoring and Compliance</w:t>
            </w:r>
          </w:p>
          <w:p w14:paraId="0C194175"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bCs/>
                <w:sz w:val="24"/>
                <w:szCs w:val="24"/>
              </w:rPr>
              <w:t>2018 – Present</w:t>
            </w:r>
          </w:p>
          <w:p w14:paraId="3FF0D4A2" w14:textId="77777777" w:rsidR="0079707E" w:rsidRPr="005C063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bCs/>
                <w:color w:val="00A0CA"/>
                <w:sz w:val="24"/>
                <w:szCs w:val="24"/>
              </w:rPr>
              <w:lastRenderedPageBreak/>
              <w:t xml:space="preserve">Scope of Activities: </w:t>
            </w:r>
            <w:r w:rsidRPr="005C063E">
              <w:rPr>
                <w:rFonts w:ascii="Times New Roman" w:eastAsia="Arial" w:hAnsi="Times New Roman" w:cs="Times New Roman"/>
                <w:sz w:val="24"/>
                <w:szCs w:val="24"/>
              </w:rPr>
              <w:t>PCG is delivering comprehensive workforce program monitoring services of Workforce Solutions (WFS) Capital Area contractors that satisfies WFS contractual obligations under the Texas Workforce Commission (TWC) and the U.S. Department of Labor.</w:t>
            </w:r>
          </w:p>
          <w:p w14:paraId="151A2E5C" w14:textId="77777777" w:rsidR="0079707E" w:rsidRPr="005C063E" w:rsidRDefault="0079707E" w:rsidP="000E74AA">
            <w:pPr>
              <w:contextualSpacing/>
              <w:rPr>
                <w:rFonts w:ascii="Times New Roman" w:hAnsi="Times New Roman" w:cs="Times New Roman"/>
                <w:sz w:val="24"/>
                <w:szCs w:val="24"/>
              </w:rPr>
            </w:pPr>
            <w:r w:rsidRPr="005C063E">
              <w:rPr>
                <w:rFonts w:ascii="Times New Roman" w:hAnsi="Times New Roman" w:cs="Times New Roman"/>
                <w:color w:val="000000"/>
                <w:sz w:val="24"/>
                <w:szCs w:val="24"/>
              </w:rPr>
              <w:t>PCG is providing programmatic monitoring services and review of a random stratified sampling of a selected number of cases from each of the following programs:</w:t>
            </w:r>
          </w:p>
          <w:p w14:paraId="28713B4B" w14:textId="77777777" w:rsidR="0079707E" w:rsidRPr="005C063E" w:rsidRDefault="0079707E" w:rsidP="00E038C3">
            <w:pPr>
              <w:numPr>
                <w:ilvl w:val="0"/>
                <w:numId w:val="8"/>
              </w:numPr>
              <w:contextualSpacing/>
              <w:textAlignment w:val="baseline"/>
              <w:rPr>
                <w:rFonts w:ascii="Times New Roman" w:hAnsi="Times New Roman" w:cs="Times New Roman"/>
                <w:color w:val="000000"/>
                <w:sz w:val="24"/>
                <w:szCs w:val="24"/>
              </w:rPr>
            </w:pPr>
            <w:r w:rsidRPr="005C063E">
              <w:rPr>
                <w:rFonts w:ascii="Times New Roman" w:hAnsi="Times New Roman" w:cs="Times New Roman"/>
                <w:color w:val="000000"/>
                <w:sz w:val="24"/>
                <w:szCs w:val="24"/>
              </w:rPr>
              <w:t xml:space="preserve">Workforce Innovation and Opportunity Act (WIOA) Adults, Dislocated Workers and Youth (in-school and out-of-school as applicable); </w:t>
            </w:r>
          </w:p>
          <w:p w14:paraId="1AFC64BF" w14:textId="77777777" w:rsidR="0079707E" w:rsidRPr="005C063E" w:rsidRDefault="0079707E" w:rsidP="00E038C3">
            <w:pPr>
              <w:numPr>
                <w:ilvl w:val="0"/>
                <w:numId w:val="8"/>
              </w:numPr>
              <w:contextualSpacing/>
              <w:textAlignment w:val="baseline"/>
              <w:rPr>
                <w:rFonts w:ascii="Times New Roman" w:hAnsi="Times New Roman" w:cs="Times New Roman"/>
                <w:color w:val="000000"/>
                <w:sz w:val="24"/>
                <w:szCs w:val="24"/>
              </w:rPr>
            </w:pPr>
            <w:r w:rsidRPr="005C063E">
              <w:rPr>
                <w:rFonts w:ascii="Times New Roman" w:hAnsi="Times New Roman" w:cs="Times New Roman"/>
                <w:color w:val="000000"/>
                <w:sz w:val="24"/>
                <w:szCs w:val="24"/>
              </w:rPr>
              <w:t>Non-Custodial Parent;</w:t>
            </w:r>
          </w:p>
          <w:p w14:paraId="5FB1A536" w14:textId="77777777" w:rsidR="0079707E" w:rsidRPr="005C063E" w:rsidRDefault="0079707E" w:rsidP="00E038C3">
            <w:pPr>
              <w:numPr>
                <w:ilvl w:val="0"/>
                <w:numId w:val="8"/>
              </w:numPr>
              <w:contextualSpacing/>
              <w:textAlignment w:val="baseline"/>
              <w:rPr>
                <w:rFonts w:ascii="Times New Roman" w:hAnsi="Times New Roman" w:cs="Times New Roman"/>
                <w:color w:val="000000"/>
                <w:sz w:val="24"/>
                <w:szCs w:val="24"/>
              </w:rPr>
            </w:pPr>
            <w:r w:rsidRPr="005C063E">
              <w:rPr>
                <w:rFonts w:ascii="Times New Roman" w:hAnsi="Times New Roman" w:cs="Times New Roman"/>
                <w:color w:val="000000"/>
                <w:sz w:val="24"/>
                <w:szCs w:val="24"/>
              </w:rPr>
              <w:t>Trade Adjustment Act;</w:t>
            </w:r>
          </w:p>
          <w:p w14:paraId="3D1C00CD" w14:textId="77777777" w:rsidR="0079707E" w:rsidRPr="005C063E" w:rsidRDefault="0079707E" w:rsidP="00E038C3">
            <w:pPr>
              <w:numPr>
                <w:ilvl w:val="0"/>
                <w:numId w:val="8"/>
              </w:numPr>
              <w:contextualSpacing/>
              <w:textAlignment w:val="baseline"/>
              <w:rPr>
                <w:rFonts w:ascii="Times New Roman" w:hAnsi="Times New Roman" w:cs="Times New Roman"/>
                <w:color w:val="000000"/>
                <w:sz w:val="24"/>
                <w:szCs w:val="24"/>
              </w:rPr>
            </w:pPr>
            <w:r w:rsidRPr="005C063E">
              <w:rPr>
                <w:rFonts w:ascii="Times New Roman" w:hAnsi="Times New Roman" w:cs="Times New Roman"/>
                <w:color w:val="000000"/>
                <w:sz w:val="24"/>
                <w:szCs w:val="24"/>
              </w:rPr>
              <w:t xml:space="preserve">Choices (TANF); </w:t>
            </w:r>
          </w:p>
          <w:p w14:paraId="76579FCC" w14:textId="77777777" w:rsidR="0079707E" w:rsidRPr="005C063E" w:rsidRDefault="0079707E" w:rsidP="00E038C3">
            <w:pPr>
              <w:numPr>
                <w:ilvl w:val="0"/>
                <w:numId w:val="8"/>
              </w:numPr>
              <w:contextualSpacing/>
              <w:textAlignment w:val="baseline"/>
              <w:rPr>
                <w:rFonts w:ascii="Times New Roman" w:hAnsi="Times New Roman" w:cs="Times New Roman"/>
                <w:color w:val="000000"/>
                <w:sz w:val="24"/>
                <w:szCs w:val="24"/>
              </w:rPr>
            </w:pPr>
            <w:r w:rsidRPr="005C063E">
              <w:rPr>
                <w:rFonts w:ascii="Times New Roman" w:hAnsi="Times New Roman" w:cs="Times New Roman"/>
                <w:color w:val="000000"/>
                <w:sz w:val="24"/>
                <w:szCs w:val="24"/>
              </w:rPr>
              <w:t>Supplemental Nutrition Assistance Plan Employment and Training (SNAP E&amp;T); and</w:t>
            </w:r>
          </w:p>
          <w:p w14:paraId="1A9A4175" w14:textId="77777777" w:rsidR="0079707E" w:rsidRPr="005C063E" w:rsidRDefault="0079707E" w:rsidP="00E038C3">
            <w:pPr>
              <w:numPr>
                <w:ilvl w:val="0"/>
                <w:numId w:val="8"/>
              </w:numPr>
              <w:contextualSpacing/>
              <w:textAlignment w:val="baseline"/>
              <w:rPr>
                <w:rFonts w:ascii="Times New Roman" w:hAnsi="Times New Roman" w:cs="Times New Roman"/>
                <w:color w:val="000000"/>
                <w:sz w:val="24"/>
                <w:szCs w:val="24"/>
              </w:rPr>
            </w:pPr>
            <w:r w:rsidRPr="005C063E">
              <w:rPr>
                <w:rFonts w:ascii="Times New Roman" w:hAnsi="Times New Roman" w:cs="Times New Roman"/>
                <w:color w:val="000000"/>
                <w:sz w:val="24"/>
                <w:szCs w:val="24"/>
              </w:rPr>
              <w:t>Child Care Services</w:t>
            </w:r>
          </w:p>
          <w:p w14:paraId="2ACDF228" w14:textId="77777777" w:rsidR="0079707E" w:rsidRPr="005C063E" w:rsidRDefault="0079707E" w:rsidP="000E74AA">
            <w:pPr>
              <w:pStyle w:val="NoSpacing"/>
              <w:contextualSpacing/>
              <w:rPr>
                <w:rFonts w:ascii="Times New Roman" w:hAnsi="Times New Roman"/>
                <w:color w:val="auto"/>
                <w:sz w:val="24"/>
                <w:szCs w:val="24"/>
              </w:rPr>
            </w:pPr>
          </w:p>
          <w:p w14:paraId="39CFBB67" w14:textId="77777777" w:rsidR="0079707E" w:rsidRPr="005C063E" w:rsidRDefault="0079707E" w:rsidP="000E74AA">
            <w:pPr>
              <w:pBdr>
                <w:top w:val="nil"/>
                <w:left w:val="nil"/>
                <w:bottom w:val="nil"/>
                <w:right w:val="nil"/>
                <w:between w:val="nil"/>
              </w:pBdr>
              <w:contextualSpacing/>
              <w:rPr>
                <w:rFonts w:ascii="Times New Roman" w:eastAsia="Arial" w:hAnsi="Times New Roman" w:cs="Times New Roman"/>
                <w:color w:val="000000"/>
                <w:sz w:val="24"/>
                <w:szCs w:val="24"/>
              </w:rPr>
            </w:pPr>
            <w:r w:rsidRPr="005C063E">
              <w:rPr>
                <w:rFonts w:ascii="Times New Roman" w:eastAsia="Arial" w:hAnsi="Times New Roman" w:cs="Times New Roman"/>
                <w:b/>
                <w:color w:val="000000"/>
                <w:sz w:val="24"/>
                <w:szCs w:val="24"/>
              </w:rPr>
              <w:t>Monitoring services</w:t>
            </w:r>
            <w:r w:rsidRPr="005C063E">
              <w:rPr>
                <w:rFonts w:ascii="Times New Roman" w:eastAsia="Arial" w:hAnsi="Times New Roman" w:cs="Times New Roman"/>
                <w:color w:val="000000"/>
                <w:sz w:val="24"/>
                <w:szCs w:val="24"/>
              </w:rPr>
              <w:t xml:space="preserve"> include review for:</w:t>
            </w:r>
          </w:p>
          <w:p w14:paraId="71553435" w14:textId="77777777" w:rsidR="0079707E" w:rsidRPr="005C063E" w:rsidRDefault="0079707E" w:rsidP="00E038C3">
            <w:pPr>
              <w:pStyle w:val="ListParagraph"/>
              <w:numPr>
                <w:ilvl w:val="0"/>
                <w:numId w:val="9"/>
              </w:numPr>
              <w:pBdr>
                <w:top w:val="nil"/>
                <w:left w:val="nil"/>
                <w:bottom w:val="nil"/>
                <w:right w:val="nil"/>
                <w:between w:val="nil"/>
              </w:pBdr>
              <w:rPr>
                <w:rFonts w:ascii="Times New Roman" w:eastAsia="Arial" w:hAnsi="Times New Roman"/>
                <w:color w:val="000000"/>
                <w:sz w:val="24"/>
                <w:szCs w:val="24"/>
              </w:rPr>
            </w:pPr>
            <w:r w:rsidRPr="005C063E">
              <w:rPr>
                <w:rFonts w:ascii="Times New Roman" w:eastAsia="Arial" w:hAnsi="Times New Roman"/>
                <w:color w:val="000000"/>
                <w:sz w:val="24"/>
                <w:szCs w:val="24"/>
              </w:rPr>
              <w:t>Compliance evaluation</w:t>
            </w:r>
          </w:p>
          <w:p w14:paraId="6CC0D4A1" w14:textId="77777777" w:rsidR="0079707E" w:rsidRPr="005C063E" w:rsidRDefault="0079707E" w:rsidP="00E038C3">
            <w:pPr>
              <w:pStyle w:val="ListParagraph"/>
              <w:numPr>
                <w:ilvl w:val="0"/>
                <w:numId w:val="9"/>
              </w:numPr>
              <w:pBdr>
                <w:top w:val="nil"/>
                <w:left w:val="nil"/>
                <w:bottom w:val="nil"/>
                <w:right w:val="nil"/>
                <w:between w:val="nil"/>
              </w:pBdr>
              <w:rPr>
                <w:rFonts w:ascii="Times New Roman" w:eastAsia="Arial" w:hAnsi="Times New Roman"/>
                <w:color w:val="000000"/>
                <w:sz w:val="24"/>
                <w:szCs w:val="24"/>
              </w:rPr>
            </w:pPr>
            <w:r w:rsidRPr="005C063E">
              <w:rPr>
                <w:rFonts w:ascii="Times New Roman" w:eastAsia="Arial" w:hAnsi="Times New Roman"/>
                <w:color w:val="000000"/>
                <w:sz w:val="24"/>
                <w:szCs w:val="24"/>
              </w:rPr>
              <w:t>Participant eligibility and verification</w:t>
            </w:r>
          </w:p>
          <w:p w14:paraId="3CAA1C99" w14:textId="77777777" w:rsidR="0079707E" w:rsidRPr="005C063E" w:rsidRDefault="0079707E" w:rsidP="00E038C3">
            <w:pPr>
              <w:pStyle w:val="ListParagraph"/>
              <w:numPr>
                <w:ilvl w:val="0"/>
                <w:numId w:val="9"/>
              </w:numPr>
              <w:pBdr>
                <w:top w:val="nil"/>
                <w:left w:val="nil"/>
                <w:bottom w:val="nil"/>
                <w:right w:val="nil"/>
                <w:between w:val="nil"/>
              </w:pBdr>
              <w:rPr>
                <w:rFonts w:ascii="Times New Roman" w:eastAsia="Arial" w:hAnsi="Times New Roman"/>
                <w:color w:val="000000"/>
                <w:sz w:val="24"/>
                <w:szCs w:val="24"/>
              </w:rPr>
            </w:pPr>
            <w:r w:rsidRPr="005C063E">
              <w:rPr>
                <w:rFonts w:ascii="Times New Roman" w:eastAsia="Arial" w:hAnsi="Times New Roman"/>
                <w:color w:val="000000"/>
                <w:sz w:val="24"/>
                <w:szCs w:val="24"/>
              </w:rPr>
              <w:t>Participant assessment and referral</w:t>
            </w:r>
          </w:p>
          <w:p w14:paraId="6517FA03" w14:textId="77777777" w:rsidR="0079707E" w:rsidRPr="005C063E" w:rsidRDefault="0079707E" w:rsidP="00E038C3">
            <w:pPr>
              <w:pStyle w:val="NoSpacing"/>
              <w:numPr>
                <w:ilvl w:val="0"/>
                <w:numId w:val="9"/>
              </w:numPr>
              <w:contextualSpacing/>
              <w:rPr>
                <w:rFonts w:ascii="Times New Roman" w:eastAsia="Arial" w:hAnsi="Times New Roman"/>
                <w:color w:val="000000"/>
                <w:sz w:val="24"/>
                <w:szCs w:val="24"/>
              </w:rPr>
            </w:pPr>
            <w:r w:rsidRPr="005C063E">
              <w:rPr>
                <w:rFonts w:ascii="Times New Roman" w:eastAsia="Arial" w:hAnsi="Times New Roman"/>
                <w:color w:val="000000"/>
                <w:sz w:val="24"/>
                <w:szCs w:val="24"/>
              </w:rPr>
              <w:t>Case management, career services, and supportive services</w:t>
            </w:r>
          </w:p>
          <w:p w14:paraId="63DF3C86" w14:textId="77777777" w:rsidR="0079707E" w:rsidRPr="005C063E" w:rsidRDefault="0079707E" w:rsidP="000E74AA">
            <w:pPr>
              <w:pStyle w:val="NoSpacing"/>
              <w:contextualSpacing/>
              <w:rPr>
                <w:rFonts w:ascii="Times New Roman" w:eastAsia="Arial" w:hAnsi="Times New Roman"/>
                <w:color w:val="000000"/>
                <w:sz w:val="24"/>
                <w:szCs w:val="24"/>
              </w:rPr>
            </w:pPr>
          </w:p>
          <w:p w14:paraId="0621CF0E" w14:textId="77777777" w:rsidR="0079707E" w:rsidRPr="005C063E" w:rsidRDefault="0079707E" w:rsidP="000E74AA">
            <w:pPr>
              <w:contextualSpacing/>
              <w:rPr>
                <w:rFonts w:ascii="Times New Roman" w:eastAsia="Arial" w:hAnsi="Times New Roman" w:cs="Times New Roman"/>
                <w:color w:val="000000"/>
                <w:sz w:val="24"/>
                <w:szCs w:val="24"/>
              </w:rPr>
            </w:pPr>
            <w:r w:rsidRPr="005C063E">
              <w:rPr>
                <w:rFonts w:ascii="Times New Roman" w:eastAsia="Arial" w:hAnsi="Times New Roman" w:cs="Times New Roman"/>
                <w:color w:val="000000"/>
                <w:sz w:val="24"/>
                <w:szCs w:val="24"/>
              </w:rPr>
              <w:t>Over multiple program years, the PCG team has achieved the following:</w:t>
            </w:r>
          </w:p>
          <w:p w14:paraId="5A10EE8D" w14:textId="77777777" w:rsidR="0079707E" w:rsidRPr="005C063E" w:rsidRDefault="0079707E" w:rsidP="00E038C3">
            <w:pPr>
              <w:pStyle w:val="ListParagraph"/>
              <w:numPr>
                <w:ilvl w:val="0"/>
                <w:numId w:val="10"/>
              </w:numPr>
              <w:rPr>
                <w:rFonts w:ascii="Times New Roman" w:eastAsia="Arial" w:hAnsi="Times New Roman"/>
                <w:color w:val="000000"/>
                <w:sz w:val="24"/>
                <w:szCs w:val="24"/>
              </w:rPr>
            </w:pPr>
            <w:r w:rsidRPr="005C063E">
              <w:rPr>
                <w:rFonts w:ascii="Times New Roman" w:eastAsia="Arial" w:hAnsi="Times New Roman"/>
                <w:color w:val="000000"/>
                <w:sz w:val="24"/>
                <w:szCs w:val="24"/>
              </w:rPr>
              <w:t>Conducted risk assessment and developed monitoring plan with timeline</w:t>
            </w:r>
          </w:p>
          <w:p w14:paraId="569C8657" w14:textId="77777777" w:rsidR="0079707E" w:rsidRPr="005C063E" w:rsidRDefault="0079707E" w:rsidP="00E038C3">
            <w:pPr>
              <w:pStyle w:val="ListParagraph"/>
              <w:numPr>
                <w:ilvl w:val="0"/>
                <w:numId w:val="10"/>
              </w:numPr>
              <w:rPr>
                <w:rFonts w:ascii="Times New Roman" w:eastAsia="Arial" w:hAnsi="Times New Roman"/>
                <w:color w:val="000000"/>
                <w:sz w:val="24"/>
                <w:szCs w:val="24"/>
              </w:rPr>
            </w:pPr>
            <w:r w:rsidRPr="005C063E">
              <w:rPr>
                <w:rFonts w:ascii="Times New Roman" w:eastAsia="Arial" w:hAnsi="Times New Roman"/>
                <w:color w:val="000000"/>
                <w:sz w:val="24"/>
                <w:szCs w:val="24"/>
              </w:rPr>
              <w:t>Led entrance and exit conferences with contractors</w:t>
            </w:r>
          </w:p>
          <w:p w14:paraId="4DDA9FC1" w14:textId="77777777" w:rsidR="0079707E" w:rsidRPr="005C063E" w:rsidRDefault="0079707E" w:rsidP="00E038C3">
            <w:pPr>
              <w:pStyle w:val="ListParagraph"/>
              <w:numPr>
                <w:ilvl w:val="0"/>
                <w:numId w:val="10"/>
              </w:numPr>
              <w:rPr>
                <w:rFonts w:ascii="Times New Roman" w:eastAsia="Arial" w:hAnsi="Times New Roman"/>
                <w:color w:val="000000"/>
                <w:sz w:val="24"/>
                <w:szCs w:val="24"/>
              </w:rPr>
            </w:pPr>
            <w:r w:rsidRPr="005C063E">
              <w:rPr>
                <w:rFonts w:ascii="Times New Roman" w:eastAsia="Arial" w:hAnsi="Times New Roman"/>
                <w:color w:val="000000"/>
                <w:sz w:val="24"/>
                <w:szCs w:val="24"/>
              </w:rPr>
              <w:t>Conducted desk review using TWIST system and on-site review of files for each program</w:t>
            </w:r>
          </w:p>
          <w:p w14:paraId="572F9B62" w14:textId="77777777" w:rsidR="0079707E" w:rsidRPr="005C063E" w:rsidRDefault="0079707E" w:rsidP="00E038C3">
            <w:pPr>
              <w:pStyle w:val="ListParagraph"/>
              <w:numPr>
                <w:ilvl w:val="0"/>
                <w:numId w:val="10"/>
              </w:numPr>
              <w:rPr>
                <w:rFonts w:ascii="Times New Roman" w:eastAsia="Arial" w:hAnsi="Times New Roman"/>
                <w:color w:val="000000"/>
                <w:sz w:val="24"/>
                <w:szCs w:val="24"/>
              </w:rPr>
            </w:pPr>
            <w:r w:rsidRPr="005C063E">
              <w:rPr>
                <w:rFonts w:ascii="Times New Roman" w:eastAsia="Arial" w:hAnsi="Times New Roman"/>
                <w:color w:val="000000"/>
                <w:sz w:val="24"/>
                <w:szCs w:val="24"/>
              </w:rPr>
              <w:t>Created monitoring reports and correction tools for the Board staff and contractors that identified findings, systemic issues, and/or observations for each service reviewed</w:t>
            </w:r>
          </w:p>
          <w:p w14:paraId="5868EA7F" w14:textId="77777777" w:rsidR="0079707E" w:rsidRPr="005C063E" w:rsidRDefault="0079707E" w:rsidP="00E038C3">
            <w:pPr>
              <w:pStyle w:val="ListParagraph"/>
              <w:numPr>
                <w:ilvl w:val="0"/>
                <w:numId w:val="10"/>
              </w:numPr>
              <w:rPr>
                <w:rFonts w:ascii="Times New Roman" w:eastAsia="Arial" w:hAnsi="Times New Roman"/>
                <w:color w:val="000000"/>
                <w:sz w:val="24"/>
                <w:szCs w:val="24"/>
              </w:rPr>
            </w:pPr>
            <w:r w:rsidRPr="005C063E">
              <w:rPr>
                <w:rFonts w:ascii="Times New Roman" w:eastAsia="Arial" w:hAnsi="Times New Roman"/>
                <w:color w:val="000000"/>
                <w:sz w:val="24"/>
                <w:szCs w:val="24"/>
              </w:rPr>
              <w:t>Developed follow-up plans to ensure implementation of corrective action plans based on monitoring reviews</w:t>
            </w:r>
          </w:p>
          <w:p w14:paraId="4BF8F98E" w14:textId="77777777" w:rsidR="0079707E" w:rsidRPr="005C063E" w:rsidRDefault="0079707E" w:rsidP="00E038C3">
            <w:pPr>
              <w:pStyle w:val="ListParagraph"/>
              <w:numPr>
                <w:ilvl w:val="0"/>
                <w:numId w:val="10"/>
              </w:numPr>
              <w:rPr>
                <w:rFonts w:ascii="Times New Roman" w:eastAsia="Arial" w:hAnsi="Times New Roman"/>
                <w:color w:val="000000"/>
                <w:sz w:val="24"/>
                <w:szCs w:val="24"/>
              </w:rPr>
            </w:pPr>
            <w:r w:rsidRPr="005C063E">
              <w:rPr>
                <w:rFonts w:ascii="Times New Roman" w:eastAsia="Arial" w:hAnsi="Times New Roman"/>
                <w:color w:val="000000"/>
                <w:sz w:val="24"/>
                <w:szCs w:val="24"/>
              </w:rPr>
              <w:t>Developed recommendations for resolving compliance issues</w:t>
            </w:r>
          </w:p>
          <w:p w14:paraId="298A9A3F" w14:textId="77777777" w:rsidR="0079707E" w:rsidRPr="005C063E" w:rsidRDefault="0079707E" w:rsidP="00E038C3">
            <w:pPr>
              <w:pStyle w:val="NoSpacing"/>
              <w:numPr>
                <w:ilvl w:val="0"/>
                <w:numId w:val="10"/>
              </w:numPr>
              <w:contextualSpacing/>
              <w:rPr>
                <w:rFonts w:ascii="Times New Roman" w:hAnsi="Times New Roman"/>
                <w:color w:val="auto"/>
                <w:sz w:val="24"/>
                <w:szCs w:val="24"/>
              </w:rPr>
            </w:pPr>
            <w:r w:rsidRPr="005C063E">
              <w:rPr>
                <w:rFonts w:ascii="Times New Roman" w:eastAsia="Arial" w:hAnsi="Times New Roman"/>
                <w:color w:val="000000"/>
                <w:sz w:val="24"/>
                <w:szCs w:val="24"/>
              </w:rPr>
              <w:t>Provided follow-up monitoring reports, as necessary</w:t>
            </w:r>
          </w:p>
          <w:p w14:paraId="454C3EAD" w14:textId="77777777" w:rsidR="0079707E" w:rsidRPr="005C063E" w:rsidRDefault="0079707E" w:rsidP="000E74AA">
            <w:pPr>
              <w:contextualSpacing/>
              <w:rPr>
                <w:rFonts w:ascii="Times New Roman" w:eastAsia="Arial" w:hAnsi="Times New Roman" w:cs="Times New Roman"/>
                <w:b/>
                <w:color w:val="00A0CA"/>
                <w:sz w:val="24"/>
                <w:szCs w:val="24"/>
              </w:rPr>
            </w:pPr>
          </w:p>
          <w:p w14:paraId="190D39E2"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Organization: </w:t>
            </w:r>
            <w:r w:rsidRPr="005C063E">
              <w:rPr>
                <w:rFonts w:ascii="Times New Roman" w:eastAsia="Arial" w:hAnsi="Times New Roman" w:cs="Times New Roman"/>
                <w:b/>
                <w:sz w:val="24"/>
                <w:szCs w:val="24"/>
              </w:rPr>
              <w:t>South Dakota, Department of Public Safety</w:t>
            </w:r>
          </w:p>
          <w:p w14:paraId="2B724E12"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Project: </w:t>
            </w:r>
            <w:r w:rsidRPr="005C063E">
              <w:rPr>
                <w:rFonts w:ascii="Times New Roman" w:eastAsia="Arial" w:hAnsi="Times New Roman" w:cs="Times New Roman"/>
                <w:b/>
                <w:sz w:val="24"/>
                <w:szCs w:val="24"/>
              </w:rPr>
              <w:t>Victims’ Services Monitoring</w:t>
            </w:r>
          </w:p>
          <w:p w14:paraId="5B29E081"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Expertise: </w:t>
            </w:r>
            <w:r w:rsidRPr="005C063E">
              <w:rPr>
                <w:rFonts w:ascii="Times New Roman" w:eastAsia="Arial" w:hAnsi="Times New Roman" w:cs="Times New Roman"/>
                <w:b/>
                <w:sz w:val="24"/>
                <w:szCs w:val="24"/>
              </w:rPr>
              <w:t>Financial and Programmatic Monitoring</w:t>
            </w:r>
          </w:p>
          <w:p w14:paraId="70969824"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Timeframe: </w:t>
            </w:r>
            <w:r w:rsidRPr="005C063E">
              <w:rPr>
                <w:rFonts w:ascii="Times New Roman" w:eastAsia="Arial" w:hAnsi="Times New Roman" w:cs="Times New Roman"/>
                <w:b/>
                <w:sz w:val="24"/>
                <w:szCs w:val="24"/>
              </w:rPr>
              <w:t>November 2017 – October 2018</w:t>
            </w:r>
          </w:p>
          <w:p w14:paraId="5C5790C4" w14:textId="77777777" w:rsidR="0079707E" w:rsidRPr="005C063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color w:val="00A0CA"/>
                <w:sz w:val="24"/>
                <w:szCs w:val="24"/>
              </w:rPr>
              <w:t xml:space="preserve">Scope of Activities: </w:t>
            </w:r>
            <w:r w:rsidRPr="005C063E">
              <w:rPr>
                <w:rFonts w:ascii="Times New Roman" w:hAnsi="Times New Roman" w:cs="Times New Roman"/>
                <w:sz w:val="24"/>
                <w:szCs w:val="24"/>
              </w:rPr>
              <w:t xml:space="preserve">PCG assisted the South Dakota Department of Public Safety with </w:t>
            </w:r>
            <w:r w:rsidRPr="005C063E">
              <w:rPr>
                <w:rFonts w:ascii="Times New Roman" w:hAnsi="Times New Roman" w:cs="Times New Roman"/>
                <w:b/>
                <w:sz w:val="24"/>
                <w:szCs w:val="24"/>
              </w:rPr>
              <w:t xml:space="preserve">revising their Victims’ Services Financial and Programmatic Monitoring Tools </w:t>
            </w:r>
            <w:r w:rsidRPr="005C063E">
              <w:rPr>
                <w:rFonts w:ascii="Times New Roman" w:hAnsi="Times New Roman" w:cs="Times New Roman"/>
                <w:sz w:val="24"/>
                <w:szCs w:val="24"/>
              </w:rPr>
              <w:t xml:space="preserve">for victims’ services subrecipient monitoring efforts. In </w:t>
            </w:r>
            <w:r w:rsidRPr="005C063E">
              <w:rPr>
                <w:rFonts w:ascii="Times New Roman" w:eastAsia="Arial" w:hAnsi="Times New Roman" w:cs="Times New Roman"/>
                <w:sz w:val="24"/>
                <w:szCs w:val="24"/>
              </w:rPr>
              <w:t xml:space="preserve">addition, PCG assisted DPS in completing 25 on-site and desk reviews of victims’ service providers receiving federal victim services grant funding from DSS, such as VOCA, STOP, FVPSA and DASA grants. PCG completed the following activities: </w:t>
            </w:r>
          </w:p>
          <w:p w14:paraId="26599A6D" w14:textId="77777777" w:rsidR="0079707E" w:rsidRPr="005C063E" w:rsidRDefault="0079707E" w:rsidP="00E038C3">
            <w:pPr>
              <w:pStyle w:val="ListParagraph"/>
              <w:numPr>
                <w:ilvl w:val="0"/>
                <w:numId w:val="12"/>
              </w:numPr>
              <w:spacing w:line="259" w:lineRule="auto"/>
              <w:rPr>
                <w:rFonts w:ascii="Times New Roman" w:eastAsia="Arial" w:hAnsi="Times New Roman"/>
                <w:sz w:val="24"/>
                <w:szCs w:val="24"/>
              </w:rPr>
            </w:pPr>
            <w:r w:rsidRPr="005C063E">
              <w:rPr>
                <w:rFonts w:ascii="Times New Roman" w:eastAsia="Arial" w:hAnsi="Times New Roman"/>
                <w:sz w:val="24"/>
                <w:szCs w:val="24"/>
              </w:rPr>
              <w:t>Contacted DSS grantees receiving an on-site review 45 days in advance of the review and scheduled a review date</w:t>
            </w:r>
          </w:p>
          <w:p w14:paraId="56861EAA" w14:textId="77777777" w:rsidR="0079707E" w:rsidRPr="005C063E" w:rsidRDefault="0079707E" w:rsidP="00E038C3">
            <w:pPr>
              <w:pStyle w:val="ListParagraph"/>
              <w:numPr>
                <w:ilvl w:val="0"/>
                <w:numId w:val="12"/>
              </w:numPr>
              <w:spacing w:line="259" w:lineRule="auto"/>
              <w:rPr>
                <w:rFonts w:ascii="Times New Roman" w:eastAsia="Arial" w:hAnsi="Times New Roman"/>
                <w:sz w:val="24"/>
                <w:szCs w:val="24"/>
              </w:rPr>
            </w:pPr>
            <w:r w:rsidRPr="005C063E">
              <w:rPr>
                <w:rFonts w:ascii="Times New Roman" w:eastAsia="Arial" w:hAnsi="Times New Roman"/>
                <w:sz w:val="24"/>
                <w:szCs w:val="24"/>
              </w:rPr>
              <w:t xml:space="preserve">Coordinated and e-mailed subrecipient pre-monitoring documents </w:t>
            </w:r>
          </w:p>
          <w:p w14:paraId="72533C24" w14:textId="77777777" w:rsidR="0079707E" w:rsidRPr="005C063E" w:rsidRDefault="0079707E" w:rsidP="00E038C3">
            <w:pPr>
              <w:pStyle w:val="ListParagraph"/>
              <w:numPr>
                <w:ilvl w:val="0"/>
                <w:numId w:val="12"/>
              </w:numPr>
              <w:spacing w:line="259" w:lineRule="auto"/>
              <w:rPr>
                <w:rFonts w:ascii="Times New Roman" w:eastAsia="Arial" w:hAnsi="Times New Roman"/>
                <w:sz w:val="24"/>
                <w:szCs w:val="24"/>
              </w:rPr>
            </w:pPr>
            <w:r w:rsidRPr="005C063E">
              <w:rPr>
                <w:rFonts w:ascii="Times New Roman" w:eastAsia="Arial" w:hAnsi="Times New Roman"/>
                <w:sz w:val="24"/>
                <w:szCs w:val="24"/>
              </w:rPr>
              <w:t>Reviewed subrecipient policies and procedures for compliance</w:t>
            </w:r>
          </w:p>
          <w:p w14:paraId="7E372FDA" w14:textId="77777777" w:rsidR="0079707E" w:rsidRPr="005C063E" w:rsidRDefault="0079707E" w:rsidP="00E038C3">
            <w:pPr>
              <w:pStyle w:val="ListParagraph"/>
              <w:numPr>
                <w:ilvl w:val="0"/>
                <w:numId w:val="12"/>
              </w:numPr>
              <w:spacing w:line="259" w:lineRule="auto"/>
              <w:rPr>
                <w:rFonts w:ascii="Times New Roman" w:eastAsia="Arial" w:hAnsi="Times New Roman"/>
                <w:sz w:val="24"/>
                <w:szCs w:val="24"/>
              </w:rPr>
            </w:pPr>
            <w:r w:rsidRPr="005C063E">
              <w:rPr>
                <w:rFonts w:ascii="Times New Roman" w:eastAsia="Arial" w:hAnsi="Times New Roman"/>
                <w:sz w:val="24"/>
                <w:szCs w:val="24"/>
              </w:rPr>
              <w:t>Performed on-site and desk monitoring reviews to perform financial monitoring and testing.</w:t>
            </w:r>
          </w:p>
          <w:p w14:paraId="2633CB4A" w14:textId="28670197" w:rsidR="0079707E" w:rsidRPr="005C063E" w:rsidRDefault="0079707E" w:rsidP="00E038C3">
            <w:pPr>
              <w:pStyle w:val="ListParagraph"/>
              <w:numPr>
                <w:ilvl w:val="0"/>
                <w:numId w:val="12"/>
              </w:numPr>
              <w:spacing w:line="259" w:lineRule="auto"/>
              <w:rPr>
                <w:rFonts w:ascii="Times New Roman" w:eastAsia="Arial" w:hAnsi="Times New Roman"/>
                <w:sz w:val="24"/>
                <w:szCs w:val="24"/>
              </w:rPr>
            </w:pPr>
            <w:r w:rsidRPr="005C063E">
              <w:rPr>
                <w:rFonts w:ascii="Times New Roman" w:eastAsia="Arial" w:hAnsi="Times New Roman"/>
                <w:sz w:val="24"/>
                <w:szCs w:val="24"/>
              </w:rPr>
              <w:t>Reviewed all program financial data, and developed a subrecipient monitoring report and corrective action plan to address provider deficiencies</w:t>
            </w:r>
          </w:p>
          <w:p w14:paraId="12B4C51E" w14:textId="1CA7BCC0" w:rsidR="00766D3E" w:rsidRPr="005C063E" w:rsidRDefault="00766D3E" w:rsidP="00766D3E">
            <w:pPr>
              <w:spacing w:line="259" w:lineRule="auto"/>
              <w:rPr>
                <w:rFonts w:ascii="Times New Roman" w:eastAsia="Arial" w:hAnsi="Times New Roman" w:cs="Times New Roman"/>
                <w:sz w:val="24"/>
                <w:szCs w:val="24"/>
              </w:rPr>
            </w:pPr>
          </w:p>
          <w:p w14:paraId="2C0A8A8F" w14:textId="47544AD6" w:rsidR="0079707E" w:rsidRPr="005C063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sz w:val="24"/>
                <w:szCs w:val="24"/>
              </w:rPr>
              <w:t xml:space="preserve">PCG also provided DPS monthly reports that included a summary of findings, compliance issues, and recommendations for improvement. For those service providers who received </w:t>
            </w:r>
            <w:r w:rsidRPr="005C063E">
              <w:rPr>
                <w:rFonts w:ascii="Times New Roman" w:eastAsia="Arial" w:hAnsi="Times New Roman" w:cs="Times New Roman"/>
                <w:sz w:val="24"/>
                <w:szCs w:val="24"/>
              </w:rPr>
              <w:lastRenderedPageBreak/>
              <w:t>recommendations for corrective actions, PCG helped monitor the corrective action plans and provided technical assistance as needed.</w:t>
            </w:r>
          </w:p>
          <w:p w14:paraId="07C7DC32" w14:textId="77777777" w:rsidR="00424BD7" w:rsidRPr="005C063E" w:rsidRDefault="00424BD7" w:rsidP="000E74AA">
            <w:pPr>
              <w:contextualSpacing/>
              <w:rPr>
                <w:rFonts w:ascii="Times New Roman" w:hAnsi="Times New Roman" w:cs="Times New Roman"/>
                <w:sz w:val="24"/>
                <w:szCs w:val="24"/>
              </w:rPr>
            </w:pPr>
          </w:p>
          <w:p w14:paraId="2B725E07"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Organization: </w:t>
            </w:r>
            <w:r w:rsidRPr="005C063E">
              <w:rPr>
                <w:rFonts w:ascii="Times New Roman" w:eastAsia="Arial" w:hAnsi="Times New Roman" w:cs="Times New Roman"/>
                <w:b/>
                <w:sz w:val="24"/>
                <w:szCs w:val="24"/>
              </w:rPr>
              <w:t>Florida Concrete Masonry Education Council, Inc.</w:t>
            </w:r>
          </w:p>
          <w:p w14:paraId="5D8DF05B"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Project: </w:t>
            </w:r>
            <w:r w:rsidRPr="005C063E">
              <w:rPr>
                <w:rFonts w:ascii="Times New Roman" w:eastAsia="Arial" w:hAnsi="Times New Roman" w:cs="Times New Roman"/>
                <w:b/>
                <w:sz w:val="24"/>
                <w:szCs w:val="24"/>
              </w:rPr>
              <w:t>Operations Services</w:t>
            </w:r>
          </w:p>
          <w:p w14:paraId="294ACDA5" w14:textId="77777777"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Expertise: </w:t>
            </w:r>
            <w:r w:rsidRPr="005C063E">
              <w:rPr>
                <w:rFonts w:ascii="Times New Roman" w:eastAsia="Arial" w:hAnsi="Times New Roman" w:cs="Times New Roman"/>
                <w:b/>
                <w:sz w:val="24"/>
                <w:szCs w:val="24"/>
              </w:rPr>
              <w:t>Compliance and Performance Monitoring, Policy &amp; Procedure Development</w:t>
            </w:r>
          </w:p>
          <w:p w14:paraId="35BFECB6" w14:textId="7AB8E8B5" w:rsidR="0079707E" w:rsidRPr="005C063E" w:rsidRDefault="0079707E" w:rsidP="000E74AA">
            <w:pPr>
              <w:contextualSpacing/>
              <w:rPr>
                <w:rFonts w:ascii="Times New Roman" w:eastAsia="Arial" w:hAnsi="Times New Roman" w:cs="Times New Roman"/>
                <w:b/>
                <w:color w:val="00A0CA"/>
                <w:sz w:val="24"/>
                <w:szCs w:val="24"/>
              </w:rPr>
            </w:pPr>
            <w:r w:rsidRPr="005C063E">
              <w:rPr>
                <w:rFonts w:ascii="Times New Roman" w:eastAsia="Arial" w:hAnsi="Times New Roman" w:cs="Times New Roman"/>
                <w:b/>
                <w:color w:val="00A0CA"/>
                <w:sz w:val="24"/>
                <w:szCs w:val="24"/>
              </w:rPr>
              <w:t xml:space="preserve">Timeframe: </w:t>
            </w:r>
            <w:r w:rsidRPr="005C063E">
              <w:rPr>
                <w:rFonts w:ascii="Times New Roman" w:eastAsia="Arial" w:hAnsi="Times New Roman" w:cs="Times New Roman"/>
                <w:b/>
                <w:sz w:val="24"/>
                <w:szCs w:val="24"/>
              </w:rPr>
              <w:t xml:space="preserve">October 2015 </w:t>
            </w:r>
            <w:r w:rsidR="00424BD7" w:rsidRPr="005C063E">
              <w:rPr>
                <w:rFonts w:ascii="Times New Roman" w:eastAsia="Arial" w:hAnsi="Times New Roman" w:cs="Times New Roman"/>
                <w:b/>
                <w:sz w:val="24"/>
                <w:szCs w:val="24"/>
              </w:rPr>
              <w:t>–</w:t>
            </w:r>
            <w:r w:rsidRPr="005C063E">
              <w:rPr>
                <w:rFonts w:ascii="Times New Roman" w:eastAsia="Arial" w:hAnsi="Times New Roman" w:cs="Times New Roman"/>
                <w:b/>
                <w:sz w:val="24"/>
                <w:szCs w:val="24"/>
              </w:rPr>
              <w:t xml:space="preserve"> Present</w:t>
            </w:r>
          </w:p>
          <w:p w14:paraId="1EE8DDAF" w14:textId="77777777" w:rsidR="0079707E" w:rsidRPr="005C063E" w:rsidRDefault="0079707E" w:rsidP="000E74AA">
            <w:pPr>
              <w:contextualSpacing/>
              <w:rPr>
                <w:rFonts w:ascii="Times New Roman" w:hAnsi="Times New Roman" w:cs="Times New Roman"/>
                <w:bCs/>
                <w:sz w:val="24"/>
                <w:szCs w:val="24"/>
              </w:rPr>
            </w:pPr>
            <w:r w:rsidRPr="005C063E">
              <w:rPr>
                <w:rFonts w:ascii="Times New Roman" w:eastAsia="Arial" w:hAnsi="Times New Roman" w:cs="Times New Roman"/>
                <w:b/>
                <w:color w:val="00A0CA"/>
                <w:sz w:val="24"/>
                <w:szCs w:val="24"/>
              </w:rPr>
              <w:t xml:space="preserve">Scope of Activities: </w:t>
            </w:r>
            <w:r w:rsidRPr="005C063E">
              <w:rPr>
                <w:rFonts w:ascii="Times New Roman" w:hAnsi="Times New Roman" w:cs="Times New Roman"/>
                <w:sz w:val="24"/>
                <w:szCs w:val="24"/>
              </w:rPr>
              <w:t>The Florida Masonry Education Council was established by Florida law as a Direct Support Organization of the Florida Department of Economic Opportunity. Working closely with the Council’s Board of Directors and Executive Director, PCG provides the Council with a comprehensive suite of operational, a</w:t>
            </w:r>
            <w:r w:rsidRPr="005C063E">
              <w:rPr>
                <w:rFonts w:ascii="Times New Roman" w:hAnsi="Times New Roman" w:cs="Times New Roman"/>
                <w:bCs/>
                <w:sz w:val="24"/>
                <w:szCs w:val="24"/>
              </w:rPr>
              <w:t xml:space="preserve">dministrative &amp; financial services, board governance, policy and procedure development, developing and managing competitive procurements, contract negotiation, grant writing, </w:t>
            </w:r>
            <w:r w:rsidRPr="005C063E">
              <w:rPr>
                <w:rFonts w:ascii="Times New Roman" w:hAnsi="Times New Roman" w:cs="Times New Roman"/>
                <w:b/>
                <w:sz w:val="24"/>
                <w:szCs w:val="24"/>
              </w:rPr>
              <w:t>compliance</w:t>
            </w:r>
            <w:r w:rsidRPr="005C063E">
              <w:rPr>
                <w:rFonts w:ascii="Times New Roman" w:hAnsi="Times New Roman" w:cs="Times New Roman"/>
                <w:bCs/>
                <w:sz w:val="24"/>
                <w:szCs w:val="24"/>
              </w:rPr>
              <w:t>, and performance monitoring.</w:t>
            </w:r>
          </w:p>
          <w:p w14:paraId="668D34B3" w14:textId="77777777" w:rsidR="0079707E" w:rsidRPr="005C063E" w:rsidRDefault="0079707E" w:rsidP="00E038C3">
            <w:pPr>
              <w:pStyle w:val="ListParagraph"/>
              <w:numPr>
                <w:ilvl w:val="0"/>
                <w:numId w:val="15"/>
              </w:numPr>
              <w:spacing w:line="259" w:lineRule="auto"/>
              <w:rPr>
                <w:rFonts w:ascii="Times New Roman" w:eastAsia="Arial" w:hAnsi="Times New Roman"/>
                <w:sz w:val="24"/>
                <w:szCs w:val="24"/>
              </w:rPr>
            </w:pPr>
            <w:r w:rsidRPr="005C063E">
              <w:rPr>
                <w:rFonts w:ascii="Times New Roman" w:eastAsia="Arial" w:hAnsi="Times New Roman"/>
                <w:sz w:val="24"/>
                <w:szCs w:val="24"/>
              </w:rPr>
              <w:t>Provides training program support and evaluation over Florida Masonry Apprentice Educational Foundation (MAEF). Currently MAEF is a sponsor of 6,000 pre- and Registered Apprenticeships and 140 schools and independent organizations throughout the state, including in many of our correctional institutions. MAEF is the Florida manager for ten apprenticeship programs where 150 apprentices currently work. </w:t>
            </w:r>
          </w:p>
          <w:p w14:paraId="522BA4B9" w14:textId="77777777" w:rsidR="0079707E" w:rsidRPr="005C063E" w:rsidRDefault="0079707E" w:rsidP="00E038C3">
            <w:pPr>
              <w:pStyle w:val="ListParagraph"/>
              <w:numPr>
                <w:ilvl w:val="0"/>
                <w:numId w:val="15"/>
              </w:numPr>
              <w:spacing w:line="259" w:lineRule="auto"/>
              <w:rPr>
                <w:rFonts w:ascii="Times New Roman" w:eastAsia="Arial" w:hAnsi="Times New Roman"/>
                <w:sz w:val="24"/>
                <w:szCs w:val="24"/>
              </w:rPr>
            </w:pPr>
            <w:r w:rsidRPr="005C063E">
              <w:rPr>
                <w:rFonts w:ascii="Times New Roman" w:eastAsia="Arial" w:hAnsi="Times New Roman"/>
                <w:sz w:val="24"/>
                <w:szCs w:val="24"/>
              </w:rPr>
              <w:t>Worked with the Florida Department of Corrections on expanding its in-facility masonry training programs. Inmates receive the same curriculum and hands-on experience as pre-apprentices. This program has been cited as a leading practice and was highlighted at the World of Concrete’s National meeting during the Masonry Contractors Association of America’s Executive Board meeting. </w:t>
            </w:r>
          </w:p>
          <w:p w14:paraId="6F5B240C" w14:textId="77777777" w:rsidR="0079707E" w:rsidRPr="005C063E" w:rsidRDefault="0079707E" w:rsidP="00E038C3">
            <w:pPr>
              <w:pStyle w:val="ListParagraph"/>
              <w:numPr>
                <w:ilvl w:val="0"/>
                <w:numId w:val="15"/>
              </w:numPr>
              <w:spacing w:line="259" w:lineRule="auto"/>
              <w:rPr>
                <w:rFonts w:ascii="Times New Roman" w:eastAsia="Arial" w:hAnsi="Times New Roman"/>
                <w:sz w:val="24"/>
                <w:szCs w:val="24"/>
              </w:rPr>
            </w:pPr>
            <w:r w:rsidRPr="005C063E">
              <w:rPr>
                <w:rFonts w:ascii="Times New Roman" w:eastAsia="Arial" w:hAnsi="Times New Roman"/>
                <w:sz w:val="24"/>
                <w:szCs w:val="24"/>
              </w:rPr>
              <w:t>Wrote, submitted, and was awarded competitive grants to underwrite the development of an online masonry education curriculum by the National Center for Construction Education and Research (NCCER). </w:t>
            </w:r>
          </w:p>
          <w:p w14:paraId="1682CE35" w14:textId="02029EEE" w:rsidR="0079707E" w:rsidRDefault="0079707E" w:rsidP="00E038C3">
            <w:pPr>
              <w:pStyle w:val="ListParagraph"/>
              <w:numPr>
                <w:ilvl w:val="0"/>
                <w:numId w:val="15"/>
              </w:numPr>
              <w:spacing w:line="259" w:lineRule="auto"/>
              <w:rPr>
                <w:rFonts w:ascii="Times New Roman" w:eastAsia="Arial" w:hAnsi="Times New Roman"/>
                <w:sz w:val="24"/>
                <w:szCs w:val="24"/>
              </w:rPr>
            </w:pPr>
            <w:r w:rsidRPr="005C063E">
              <w:rPr>
                <w:rFonts w:ascii="Times New Roman" w:eastAsia="Arial" w:hAnsi="Times New Roman"/>
                <w:sz w:val="24"/>
                <w:szCs w:val="24"/>
              </w:rPr>
              <w:t>Helped the Council grow its annual operating revenue to over $2,300,000 through voluntary industry provided contributions. </w:t>
            </w:r>
          </w:p>
          <w:p w14:paraId="3997BA32" w14:textId="77777777" w:rsidR="00742C3E" w:rsidRPr="005C063E" w:rsidRDefault="00742C3E" w:rsidP="000C2C5B">
            <w:pPr>
              <w:pStyle w:val="ListParagraph"/>
              <w:spacing w:line="259" w:lineRule="auto"/>
              <w:rPr>
                <w:rFonts w:ascii="Times New Roman" w:eastAsia="Arial" w:hAnsi="Times New Roman"/>
                <w:sz w:val="24"/>
                <w:szCs w:val="24"/>
              </w:rPr>
            </w:pPr>
          </w:p>
          <w:p w14:paraId="332D85D2"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Missouri Department of Social Services</w:t>
            </w:r>
          </w:p>
          <w:p w14:paraId="74739676"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Project:</w:t>
            </w:r>
            <w:r w:rsidRPr="005C063E">
              <w:rPr>
                <w:rFonts w:ascii="Times New Roman" w:eastAsia="Arial" w:hAnsi="Times New Roman" w:cs="Times New Roman"/>
                <w:i/>
                <w:iCs/>
                <w:sz w:val="24"/>
                <w:szCs w:val="24"/>
              </w:rPr>
              <w:t xml:space="preserve"> </w:t>
            </w:r>
            <w:r w:rsidRPr="005C063E">
              <w:rPr>
                <w:rFonts w:ascii="Times New Roman" w:eastAsia="Arial" w:hAnsi="Times New Roman" w:cs="Times New Roman"/>
                <w:b/>
                <w:bCs/>
                <w:sz w:val="24"/>
                <w:szCs w:val="24"/>
              </w:rPr>
              <w:t>Victims of Crime Act (VOCA) Compliance Process Analysis</w:t>
            </w:r>
          </w:p>
          <w:p w14:paraId="11603085" w14:textId="77777777" w:rsidR="0079707E" w:rsidRPr="005C063E" w:rsidRDefault="0079707E" w:rsidP="000E74AA">
            <w:pPr>
              <w:contextualSpacing/>
              <w:rPr>
                <w:rFonts w:ascii="Times New Roman" w:eastAsia="Arial" w:hAnsi="Times New Roman" w:cs="Times New Roman"/>
                <w:b/>
                <w:bCs/>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b/>
                <w:bCs/>
                <w:i/>
                <w:iCs/>
                <w:color w:val="00A0CA"/>
                <w:sz w:val="24"/>
                <w:szCs w:val="24"/>
              </w:rPr>
              <w:t xml:space="preserve"> </w:t>
            </w:r>
            <w:r w:rsidRPr="005C063E">
              <w:rPr>
                <w:rFonts w:ascii="Times New Roman" w:eastAsia="Arial" w:hAnsi="Times New Roman" w:cs="Times New Roman"/>
                <w:b/>
                <w:bCs/>
                <w:sz w:val="24"/>
                <w:szCs w:val="24"/>
              </w:rPr>
              <w:t>Grant Compliance, Subrecipient Monitoring</w:t>
            </w:r>
          </w:p>
          <w:p w14:paraId="32321757"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sz w:val="24"/>
                <w:szCs w:val="24"/>
              </w:rPr>
              <w:t>November 2018 – October 2019</w:t>
            </w:r>
          </w:p>
          <w:p w14:paraId="46B620D9"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eastAsia="Arial" w:hAnsi="Times New Roman" w:cs="Times New Roman"/>
                <w:sz w:val="24"/>
                <w:szCs w:val="24"/>
              </w:rPr>
              <w:t xml:space="preserve">PCG contracted with the Missouri DSS to analyze DSS’ VOCA subrecipient compliance efforts. This project consisted of the following three stages: </w:t>
            </w:r>
          </w:p>
          <w:p w14:paraId="5417002B" w14:textId="77777777" w:rsidR="0079707E" w:rsidRPr="005C063E" w:rsidRDefault="0079707E" w:rsidP="00E038C3">
            <w:pPr>
              <w:pStyle w:val="ListParagraph"/>
              <w:numPr>
                <w:ilvl w:val="0"/>
                <w:numId w:val="6"/>
              </w:numPr>
              <w:spacing w:line="252" w:lineRule="auto"/>
              <w:rPr>
                <w:rFonts w:ascii="Times New Roman" w:eastAsiaTheme="minorEastAsia" w:hAnsi="Times New Roman"/>
                <w:b/>
                <w:bCs/>
                <w:sz w:val="24"/>
                <w:szCs w:val="24"/>
              </w:rPr>
            </w:pPr>
            <w:r w:rsidRPr="005C063E">
              <w:rPr>
                <w:rFonts w:ascii="Times New Roman" w:eastAsia="Arial" w:hAnsi="Times New Roman"/>
                <w:b/>
                <w:bCs/>
                <w:sz w:val="24"/>
                <w:szCs w:val="24"/>
              </w:rPr>
              <w:t>Stage 1 – VOCA Compliance Analysis</w:t>
            </w:r>
            <w:r w:rsidRPr="005C063E">
              <w:rPr>
                <w:rFonts w:ascii="Times New Roman" w:eastAsia="Arial" w:hAnsi="Times New Roman"/>
                <w:sz w:val="24"/>
                <w:szCs w:val="24"/>
              </w:rPr>
              <w:t xml:space="preserve">: PCG identified all VOCA federal program guidelines, analyzed the current VOCA Unit compliance efforts, including what the VOCA Unit requires from Missouri VOCA subrecipients, and created a report detailing whether the VOCA Unit compliance efforts were insufficient, appropriate, unnecessary, or excessive. </w:t>
            </w:r>
          </w:p>
          <w:p w14:paraId="116E5B93" w14:textId="77777777" w:rsidR="0079707E" w:rsidRPr="005C063E" w:rsidRDefault="0079707E" w:rsidP="00E038C3">
            <w:pPr>
              <w:pStyle w:val="ListParagraph"/>
              <w:numPr>
                <w:ilvl w:val="0"/>
                <w:numId w:val="6"/>
              </w:numPr>
              <w:spacing w:line="252" w:lineRule="auto"/>
              <w:rPr>
                <w:rFonts w:ascii="Times New Roman" w:eastAsiaTheme="minorEastAsia" w:hAnsi="Times New Roman"/>
                <w:b/>
                <w:bCs/>
                <w:sz w:val="24"/>
                <w:szCs w:val="24"/>
              </w:rPr>
            </w:pPr>
            <w:r w:rsidRPr="005C063E">
              <w:rPr>
                <w:rFonts w:ascii="Times New Roman" w:eastAsia="Arial" w:hAnsi="Times New Roman"/>
                <w:b/>
                <w:bCs/>
                <w:sz w:val="24"/>
                <w:szCs w:val="24"/>
              </w:rPr>
              <w:t>Stage 2 – Missouri Compliance Manual Update:</w:t>
            </w:r>
            <w:r w:rsidRPr="005C063E">
              <w:rPr>
                <w:rFonts w:ascii="Times New Roman" w:eastAsia="Arial" w:hAnsi="Times New Roman"/>
                <w:sz w:val="24"/>
                <w:szCs w:val="24"/>
              </w:rPr>
              <w:t xml:space="preserve"> PCG updated the DSS VOCA Unit Compliance Manual, based on federal guidelines and regulations, to streamline VOCA Unit staff activities, and trained DSS staff on VOCA requirements and compliance efforts.</w:t>
            </w:r>
          </w:p>
          <w:p w14:paraId="51BBC3BC" w14:textId="77777777" w:rsidR="0079707E" w:rsidRPr="005C063E" w:rsidRDefault="0079707E" w:rsidP="00E038C3">
            <w:pPr>
              <w:pStyle w:val="ListParagraph"/>
              <w:numPr>
                <w:ilvl w:val="0"/>
                <w:numId w:val="6"/>
              </w:numPr>
              <w:spacing w:line="252" w:lineRule="auto"/>
              <w:rPr>
                <w:rFonts w:ascii="Times New Roman" w:eastAsiaTheme="minorEastAsia" w:hAnsi="Times New Roman"/>
                <w:b/>
                <w:bCs/>
                <w:sz w:val="24"/>
                <w:szCs w:val="24"/>
              </w:rPr>
            </w:pPr>
            <w:r w:rsidRPr="005C063E">
              <w:rPr>
                <w:rFonts w:ascii="Times New Roman" w:eastAsia="Arial" w:hAnsi="Times New Roman"/>
                <w:b/>
                <w:bCs/>
                <w:sz w:val="24"/>
                <w:szCs w:val="24"/>
              </w:rPr>
              <w:t>Stage 3 – Programmatic and Fiscal Monitoring</w:t>
            </w:r>
            <w:r w:rsidRPr="005C063E">
              <w:rPr>
                <w:rFonts w:ascii="Times New Roman" w:eastAsia="Arial" w:hAnsi="Times New Roman"/>
                <w:sz w:val="24"/>
                <w:szCs w:val="24"/>
              </w:rPr>
              <w:t>: PCG created VOCA subrecipient programmatic and fiscal monitoring tools, which included a review of all federal and state VOCA requirements. PCG completed 31 programmatic and fiscal VOCA subrecipient reviews throughout the State of Missouri. Following each monitoring, PCG provided DSS with a detailed report describing the findings and recommendations the subrecipient should make to enhance VOCA compliance.</w:t>
            </w:r>
          </w:p>
          <w:p w14:paraId="2B50D904"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lastRenderedPageBreak/>
              <w:t xml:space="preserve"> </w:t>
            </w:r>
          </w:p>
          <w:p w14:paraId="57A24080"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Organization:</w:t>
            </w:r>
            <w:r w:rsidRPr="005C063E">
              <w:rPr>
                <w:rFonts w:ascii="Times New Roman" w:eastAsia="Arial" w:hAnsi="Times New Roman" w:cs="Times New Roman"/>
                <w:b/>
                <w:bCs/>
                <w:sz w:val="24"/>
                <w:szCs w:val="24"/>
              </w:rPr>
              <w:t xml:space="preserve"> Multiple Organizations (Clark University and Alachua Bradford Regional Workforce Board)</w:t>
            </w:r>
          </w:p>
          <w:p w14:paraId="0691445F"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color w:val="009FCA"/>
                <w:sz w:val="24"/>
                <w:szCs w:val="24"/>
              </w:rPr>
              <w:t>Projects:</w:t>
            </w:r>
            <w:r w:rsidRPr="005C063E">
              <w:rPr>
                <w:rFonts w:ascii="Times New Roman" w:eastAsia="Arial" w:hAnsi="Times New Roman" w:cs="Times New Roman"/>
                <w:i/>
                <w:sz w:val="24"/>
                <w:szCs w:val="24"/>
              </w:rPr>
              <w:t xml:space="preserve"> </w:t>
            </w:r>
            <w:r w:rsidRPr="005C063E">
              <w:rPr>
                <w:rFonts w:ascii="Times New Roman" w:eastAsia="Arial" w:hAnsi="Times New Roman" w:cs="Times New Roman"/>
                <w:b/>
                <w:sz w:val="24"/>
                <w:szCs w:val="24"/>
              </w:rPr>
              <w:t>H-1B Technical Skills Training</w:t>
            </w:r>
            <w:r w:rsidRPr="005C063E">
              <w:rPr>
                <w:rFonts w:ascii="Times New Roman" w:eastAsia="Arial" w:hAnsi="Times New Roman" w:cs="Times New Roman"/>
                <w:i/>
                <w:sz w:val="24"/>
                <w:szCs w:val="24"/>
              </w:rPr>
              <w:t xml:space="preserve">, </w:t>
            </w:r>
            <w:r w:rsidRPr="005C063E">
              <w:rPr>
                <w:rFonts w:ascii="Times New Roman" w:eastAsia="Arial" w:hAnsi="Times New Roman" w:cs="Times New Roman"/>
                <w:b/>
                <w:sz w:val="24"/>
                <w:szCs w:val="24"/>
              </w:rPr>
              <w:t xml:space="preserve">Workforce Innovation Fund, </w:t>
            </w:r>
            <w:r w:rsidRPr="005C063E">
              <w:rPr>
                <w:rFonts w:ascii="Times New Roman" w:eastAsia="Arial" w:hAnsi="Times New Roman" w:cs="Times New Roman"/>
                <w:b/>
                <w:bCs/>
                <w:sz w:val="24"/>
                <w:szCs w:val="24"/>
              </w:rPr>
              <w:t xml:space="preserve">H-1B Ready to Work Grant, </w:t>
            </w:r>
            <w:r w:rsidRPr="005C063E">
              <w:rPr>
                <w:rFonts w:ascii="Times New Roman" w:eastAsia="Arial" w:hAnsi="Times New Roman" w:cs="Times New Roman"/>
                <w:b/>
                <w:sz w:val="24"/>
                <w:szCs w:val="24"/>
              </w:rPr>
              <w:t>Strengthening Working Families Initiative, Scaling Apprenticeships</w:t>
            </w:r>
            <w:r w:rsidRPr="005C063E">
              <w:rPr>
                <w:rFonts w:ascii="Times New Roman" w:eastAsia="Arial" w:hAnsi="Times New Roman" w:cs="Times New Roman"/>
                <w:b/>
                <w:bCs/>
                <w:sz w:val="24"/>
                <w:szCs w:val="24"/>
              </w:rPr>
              <w:t xml:space="preserve"> Through Sector Based Strategies Grant</w:t>
            </w:r>
          </w:p>
          <w:p w14:paraId="0DF8AA23" w14:textId="77777777" w:rsidR="0079707E" w:rsidRPr="005C063E" w:rsidRDefault="0079707E" w:rsidP="000E74AA">
            <w:pPr>
              <w:contextualSpacing/>
              <w:rPr>
                <w:rFonts w:ascii="Times New Roman" w:eastAsia="Arial" w:hAnsi="Times New Roman" w:cs="Times New Roman"/>
                <w:b/>
                <w:bCs/>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b/>
                <w:bCs/>
                <w:i/>
                <w:iCs/>
                <w:sz w:val="24"/>
                <w:szCs w:val="24"/>
              </w:rPr>
              <w:t xml:space="preserve"> </w:t>
            </w:r>
            <w:r w:rsidRPr="005C063E">
              <w:rPr>
                <w:rFonts w:ascii="Times New Roman" w:eastAsia="Arial" w:hAnsi="Times New Roman" w:cs="Times New Roman"/>
                <w:b/>
                <w:bCs/>
                <w:sz w:val="24"/>
                <w:szCs w:val="24"/>
              </w:rPr>
              <w:t>Grant Compliance, Grant Writing, Financial Management, Subrecipient Monitoring</w:t>
            </w:r>
          </w:p>
          <w:p w14:paraId="17A3A7FB" w14:textId="77777777" w:rsidR="0079707E" w:rsidRPr="005C063E" w:rsidRDefault="0079707E" w:rsidP="000E74AA">
            <w:pPr>
              <w:contextualSpacing/>
              <w:rPr>
                <w:rFonts w:ascii="Times New Roman" w:hAnsi="Times New Roman" w:cs="Times New Roman"/>
                <w:sz w:val="24"/>
                <w:szCs w:val="24"/>
              </w:rPr>
            </w:pPr>
            <w:r w:rsidRPr="00D27255">
              <w:rPr>
                <w:rFonts w:ascii="Times New Roman" w:eastAsia="Arial" w:hAnsi="Times New Roman" w:cs="Times New Roman"/>
                <w:b/>
                <w:bCs/>
                <w:color w:val="00A0CA"/>
                <w:sz w:val="24"/>
                <w:szCs w:val="24"/>
              </w:rPr>
              <w:t>Timeframe:</w:t>
            </w:r>
            <w:r w:rsidRPr="005C063E">
              <w:rPr>
                <w:rFonts w:ascii="Times New Roman" w:eastAsia="Arial" w:hAnsi="Times New Roman" w:cs="Times New Roman"/>
                <w:b/>
                <w:color w:val="C0504D" w:themeColor="accent2"/>
                <w:sz w:val="24"/>
                <w:szCs w:val="24"/>
              </w:rPr>
              <w:t xml:space="preserve"> </w:t>
            </w:r>
            <w:r w:rsidRPr="005C063E">
              <w:rPr>
                <w:rFonts w:ascii="Times New Roman" w:eastAsia="Arial" w:hAnsi="Times New Roman" w:cs="Times New Roman"/>
                <w:b/>
                <w:sz w:val="24"/>
                <w:szCs w:val="24"/>
              </w:rPr>
              <w:t>201</w:t>
            </w:r>
            <w:r w:rsidRPr="005C063E">
              <w:rPr>
                <w:rFonts w:ascii="Times New Roman" w:eastAsia="Arial" w:hAnsi="Times New Roman" w:cs="Times New Roman"/>
                <w:b/>
                <w:bCs/>
                <w:sz w:val="24"/>
                <w:szCs w:val="24"/>
              </w:rPr>
              <w:t>1</w:t>
            </w:r>
            <w:r w:rsidRPr="005C063E">
              <w:rPr>
                <w:rFonts w:ascii="Times New Roman" w:eastAsia="Arial" w:hAnsi="Times New Roman" w:cs="Times New Roman"/>
                <w:b/>
                <w:sz w:val="24"/>
                <w:szCs w:val="24"/>
              </w:rPr>
              <w:t xml:space="preserve"> – Present</w:t>
            </w:r>
          </w:p>
          <w:p w14:paraId="7C70028D" w14:textId="77777777" w:rsidR="0079707E" w:rsidRPr="005C063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eastAsia="Arial" w:hAnsi="Times New Roman" w:cs="Times New Roman"/>
                <w:sz w:val="24"/>
                <w:szCs w:val="24"/>
              </w:rPr>
              <w:t xml:space="preserve">PCG has been the contracted administrative and fiscal entity for over $43 million in U.S. Department of Labor, Employment and Training Administration (DOLETA) funded Federal grants over the last decade:  </w:t>
            </w:r>
          </w:p>
          <w:p w14:paraId="701EC82A" w14:textId="77777777" w:rsidR="0079707E" w:rsidRPr="005C063E" w:rsidRDefault="0079707E" w:rsidP="00E038C3">
            <w:pPr>
              <w:pStyle w:val="ListParagraph"/>
              <w:numPr>
                <w:ilvl w:val="0"/>
                <w:numId w:val="13"/>
              </w:numPr>
              <w:spacing w:line="259" w:lineRule="auto"/>
              <w:rPr>
                <w:rFonts w:ascii="Times New Roman" w:eastAsia="Arial" w:hAnsi="Times New Roman"/>
                <w:sz w:val="24"/>
                <w:szCs w:val="24"/>
              </w:rPr>
            </w:pPr>
            <w:r w:rsidRPr="005C063E">
              <w:rPr>
                <w:rFonts w:ascii="Times New Roman" w:eastAsia="Arial" w:hAnsi="Times New Roman"/>
                <w:sz w:val="24"/>
                <w:szCs w:val="24"/>
              </w:rPr>
              <w:t xml:space="preserve">52-month H-1B Technical Skills Training grant, $5 million; </w:t>
            </w:r>
          </w:p>
          <w:p w14:paraId="67F1F7A7" w14:textId="77777777" w:rsidR="0079707E" w:rsidRPr="005C063E" w:rsidRDefault="0079707E" w:rsidP="00E038C3">
            <w:pPr>
              <w:pStyle w:val="ListParagraph"/>
              <w:numPr>
                <w:ilvl w:val="0"/>
                <w:numId w:val="13"/>
              </w:numPr>
              <w:spacing w:line="259" w:lineRule="auto"/>
              <w:rPr>
                <w:rFonts w:ascii="Times New Roman" w:eastAsia="Arial" w:hAnsi="Times New Roman"/>
                <w:sz w:val="24"/>
                <w:szCs w:val="24"/>
              </w:rPr>
            </w:pPr>
            <w:r w:rsidRPr="005C063E">
              <w:rPr>
                <w:rFonts w:ascii="Times New Roman" w:eastAsia="Arial" w:hAnsi="Times New Roman"/>
                <w:sz w:val="24"/>
                <w:szCs w:val="24"/>
              </w:rPr>
              <w:t>Five-year Workforce Innovation Fund, Startup Quest</w:t>
            </w:r>
            <w:r w:rsidRPr="005C063E">
              <w:rPr>
                <w:rFonts w:ascii="Times New Roman" w:eastAsia="Arial" w:hAnsi="Times New Roman"/>
                <w:b/>
                <w:sz w:val="24"/>
                <w:szCs w:val="24"/>
                <w:vertAlign w:val="superscript"/>
              </w:rPr>
              <w:t>®</w:t>
            </w:r>
            <w:r w:rsidRPr="005C063E">
              <w:rPr>
                <w:rFonts w:ascii="Times New Roman" w:eastAsia="Arial" w:hAnsi="Times New Roman"/>
                <w:sz w:val="24"/>
                <w:szCs w:val="24"/>
              </w:rPr>
              <w:t xml:space="preserve"> $12 million;</w:t>
            </w:r>
          </w:p>
          <w:p w14:paraId="48B6C05F" w14:textId="77777777" w:rsidR="0079707E" w:rsidRPr="005C063E" w:rsidRDefault="0079707E" w:rsidP="00E038C3">
            <w:pPr>
              <w:pStyle w:val="ListParagraph"/>
              <w:numPr>
                <w:ilvl w:val="0"/>
                <w:numId w:val="13"/>
              </w:numPr>
              <w:spacing w:line="259" w:lineRule="auto"/>
              <w:rPr>
                <w:rFonts w:ascii="Times New Roman" w:eastAsia="Arial" w:hAnsi="Times New Roman"/>
                <w:sz w:val="24"/>
                <w:szCs w:val="24"/>
              </w:rPr>
            </w:pPr>
            <w:r w:rsidRPr="005C063E">
              <w:rPr>
                <w:rFonts w:ascii="Times New Roman" w:eastAsia="Arial" w:hAnsi="Times New Roman"/>
                <w:sz w:val="24"/>
                <w:szCs w:val="24"/>
              </w:rPr>
              <w:t xml:space="preserve">Four-year H-1B Ready to Work grant, $10 million; </w:t>
            </w:r>
          </w:p>
          <w:p w14:paraId="25FEDC46" w14:textId="77777777" w:rsidR="0079707E" w:rsidRPr="005C063E" w:rsidRDefault="0079707E" w:rsidP="00E038C3">
            <w:pPr>
              <w:pStyle w:val="ListParagraph"/>
              <w:numPr>
                <w:ilvl w:val="0"/>
                <w:numId w:val="13"/>
              </w:numPr>
              <w:spacing w:line="259" w:lineRule="auto"/>
              <w:rPr>
                <w:rFonts w:ascii="Times New Roman" w:eastAsiaTheme="minorEastAsia" w:hAnsi="Times New Roman"/>
                <w:sz w:val="24"/>
                <w:szCs w:val="24"/>
              </w:rPr>
            </w:pPr>
            <w:r w:rsidRPr="005C063E">
              <w:rPr>
                <w:rFonts w:ascii="Times New Roman" w:eastAsia="Arial" w:hAnsi="Times New Roman"/>
                <w:sz w:val="24"/>
                <w:szCs w:val="24"/>
              </w:rPr>
              <w:t>Four-year Strengthening Working Families Initiative, $4 million;</w:t>
            </w:r>
          </w:p>
          <w:p w14:paraId="3D552227" w14:textId="77777777" w:rsidR="0079707E" w:rsidRPr="005C063E" w:rsidRDefault="0079707E" w:rsidP="00E038C3">
            <w:pPr>
              <w:pStyle w:val="ListParagraph"/>
              <w:numPr>
                <w:ilvl w:val="0"/>
                <w:numId w:val="13"/>
              </w:numPr>
              <w:spacing w:line="259" w:lineRule="auto"/>
              <w:rPr>
                <w:rFonts w:ascii="Times New Roman" w:eastAsiaTheme="minorEastAsia" w:hAnsi="Times New Roman"/>
                <w:sz w:val="24"/>
                <w:szCs w:val="24"/>
              </w:rPr>
            </w:pPr>
            <w:r w:rsidRPr="005C063E">
              <w:rPr>
                <w:rFonts w:ascii="Times New Roman" w:eastAsia="Arial" w:hAnsi="Times New Roman"/>
                <w:sz w:val="24"/>
                <w:szCs w:val="24"/>
              </w:rPr>
              <w:t xml:space="preserve">Four-year Scaling Apprenticeships through Sector Based Strategies, $12 million </w:t>
            </w:r>
          </w:p>
          <w:p w14:paraId="39D3408D" w14:textId="77777777" w:rsidR="000A445F" w:rsidRDefault="000A445F" w:rsidP="000E74AA">
            <w:pPr>
              <w:contextualSpacing/>
              <w:rPr>
                <w:rFonts w:ascii="Times New Roman" w:eastAsia="Arial" w:hAnsi="Times New Roman" w:cs="Times New Roman"/>
                <w:sz w:val="24"/>
                <w:szCs w:val="24"/>
              </w:rPr>
            </w:pPr>
          </w:p>
          <w:p w14:paraId="060BF8E7" w14:textId="2FB47AAE"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sz w:val="24"/>
                <w:szCs w:val="24"/>
              </w:rPr>
              <w:t>PCG has provided performance and programmatic services that support board/agency activities and provide infrastructure support. These contracts include such services as:</w:t>
            </w:r>
          </w:p>
          <w:p w14:paraId="14587B61"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b/>
                <w:sz w:val="24"/>
                <w:szCs w:val="24"/>
              </w:rPr>
              <w:t>Performance Monitoring and Reporting</w:t>
            </w:r>
            <w:r w:rsidRPr="005C063E">
              <w:rPr>
                <w:rFonts w:ascii="Times New Roman" w:eastAsia="Arial" w:hAnsi="Times New Roman"/>
                <w:sz w:val="24"/>
                <w:szCs w:val="24"/>
              </w:rPr>
              <w:t xml:space="preserve">, </w:t>
            </w:r>
          </w:p>
          <w:p w14:paraId="2181FA54" w14:textId="03CADA1D" w:rsidR="0079707E" w:rsidRPr="005C063E" w:rsidRDefault="00C27A0F" w:rsidP="00E038C3">
            <w:pPr>
              <w:pStyle w:val="ListParagraph"/>
              <w:numPr>
                <w:ilvl w:val="1"/>
                <w:numId w:val="5"/>
              </w:numPr>
              <w:spacing w:line="252" w:lineRule="auto"/>
              <w:rPr>
                <w:rFonts w:ascii="Times New Roman" w:eastAsiaTheme="minorEastAsia" w:hAnsi="Times New Roman"/>
                <w:sz w:val="24"/>
                <w:szCs w:val="24"/>
              </w:rPr>
            </w:pPr>
            <w:r>
              <w:rPr>
                <w:rFonts w:ascii="Times New Roman" w:eastAsia="Arial" w:hAnsi="Times New Roman"/>
                <w:sz w:val="24"/>
                <w:szCs w:val="24"/>
              </w:rPr>
              <w:t>Q</w:t>
            </w:r>
            <w:r w:rsidR="0079707E" w:rsidRPr="005C063E">
              <w:rPr>
                <w:rFonts w:ascii="Times New Roman" w:eastAsia="Arial" w:hAnsi="Times New Roman"/>
                <w:sz w:val="24"/>
                <w:szCs w:val="24"/>
              </w:rPr>
              <w:t xml:space="preserve">uality </w:t>
            </w:r>
            <w:r>
              <w:rPr>
                <w:rFonts w:ascii="Times New Roman" w:eastAsia="Arial" w:hAnsi="Times New Roman"/>
                <w:sz w:val="24"/>
                <w:szCs w:val="24"/>
              </w:rPr>
              <w:t>A</w:t>
            </w:r>
            <w:r w:rsidR="0079707E" w:rsidRPr="005C063E">
              <w:rPr>
                <w:rFonts w:ascii="Times New Roman" w:eastAsia="Arial" w:hAnsi="Times New Roman"/>
                <w:sz w:val="24"/>
                <w:szCs w:val="24"/>
              </w:rPr>
              <w:t xml:space="preserve">ssurance </w:t>
            </w:r>
          </w:p>
          <w:p w14:paraId="126D23F0" w14:textId="29E299D3" w:rsidR="0079707E" w:rsidRPr="005C063E" w:rsidRDefault="00C27A0F" w:rsidP="00E038C3">
            <w:pPr>
              <w:pStyle w:val="ListParagraph"/>
              <w:numPr>
                <w:ilvl w:val="1"/>
                <w:numId w:val="5"/>
              </w:numPr>
              <w:spacing w:line="252" w:lineRule="auto"/>
              <w:rPr>
                <w:rFonts w:ascii="Times New Roman" w:eastAsiaTheme="minorEastAsia" w:hAnsi="Times New Roman"/>
                <w:sz w:val="24"/>
                <w:szCs w:val="24"/>
              </w:rPr>
            </w:pPr>
            <w:r>
              <w:rPr>
                <w:rFonts w:ascii="Times New Roman" w:eastAsia="Arial" w:hAnsi="Times New Roman"/>
                <w:sz w:val="24"/>
                <w:szCs w:val="24"/>
              </w:rPr>
              <w:t>C</w:t>
            </w:r>
            <w:r w:rsidR="0079707E" w:rsidRPr="005C063E">
              <w:rPr>
                <w:rFonts w:ascii="Times New Roman" w:eastAsia="Arial" w:hAnsi="Times New Roman"/>
                <w:sz w:val="24"/>
                <w:szCs w:val="24"/>
              </w:rPr>
              <w:t>ompliance</w:t>
            </w:r>
            <w:r>
              <w:rPr>
                <w:rFonts w:ascii="Times New Roman" w:eastAsia="Arial" w:hAnsi="Times New Roman"/>
                <w:sz w:val="24"/>
                <w:szCs w:val="24"/>
              </w:rPr>
              <w:t xml:space="preserve"> M</w:t>
            </w:r>
            <w:r w:rsidR="0079707E" w:rsidRPr="005C063E">
              <w:rPr>
                <w:rFonts w:ascii="Times New Roman" w:eastAsia="Arial" w:hAnsi="Times New Roman"/>
                <w:sz w:val="24"/>
                <w:szCs w:val="24"/>
              </w:rPr>
              <w:t>onitoring</w:t>
            </w:r>
          </w:p>
          <w:p w14:paraId="0008633E" w14:textId="006F2AC6" w:rsidR="0079707E" w:rsidRPr="005C063E" w:rsidRDefault="00C27A0F" w:rsidP="00E038C3">
            <w:pPr>
              <w:pStyle w:val="ListParagraph"/>
              <w:numPr>
                <w:ilvl w:val="1"/>
                <w:numId w:val="5"/>
              </w:numPr>
              <w:spacing w:line="252" w:lineRule="auto"/>
              <w:rPr>
                <w:rFonts w:ascii="Times New Roman" w:eastAsiaTheme="minorEastAsia" w:hAnsi="Times New Roman"/>
                <w:sz w:val="24"/>
                <w:szCs w:val="24"/>
              </w:rPr>
            </w:pPr>
            <w:r>
              <w:rPr>
                <w:rFonts w:ascii="Times New Roman" w:eastAsia="Arial" w:hAnsi="Times New Roman"/>
                <w:sz w:val="24"/>
                <w:szCs w:val="24"/>
              </w:rPr>
              <w:t>C</w:t>
            </w:r>
            <w:r w:rsidR="0079707E" w:rsidRPr="005C063E">
              <w:rPr>
                <w:rFonts w:ascii="Times New Roman" w:eastAsia="Arial" w:hAnsi="Times New Roman"/>
                <w:sz w:val="24"/>
                <w:szCs w:val="24"/>
              </w:rPr>
              <w:t>ommunications, contract oversight of all other Board contracts and business services</w:t>
            </w:r>
          </w:p>
          <w:p w14:paraId="5CD3E5B6"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Program and Staff Training Support</w:t>
            </w:r>
          </w:p>
          <w:p w14:paraId="48206D0E"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 xml:space="preserve">Board Management </w:t>
            </w:r>
          </w:p>
          <w:p w14:paraId="1F0495D1"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 xml:space="preserve">Coordination and Logistics Management </w:t>
            </w:r>
          </w:p>
          <w:p w14:paraId="0DF443B4"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Board policy development including the reporting of fraud, conflict of interest, and ethics;</w:t>
            </w:r>
          </w:p>
          <w:p w14:paraId="6ED5FC85"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Financial Services:</w:t>
            </w:r>
          </w:p>
          <w:p w14:paraId="224579FF"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Strategic Financial Planning and Oversight</w:t>
            </w:r>
          </w:p>
          <w:p w14:paraId="5E65F2E4"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Accounting Services</w:t>
            </w:r>
          </w:p>
          <w:p w14:paraId="08240B12"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Federal, State, and Local Regulatory and Compliance Oversight and Reporting</w:t>
            </w:r>
          </w:p>
          <w:p w14:paraId="69C956C7"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Procurements</w:t>
            </w:r>
          </w:p>
          <w:p w14:paraId="6C12F4B2"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Contract Oversight</w:t>
            </w:r>
          </w:p>
          <w:p w14:paraId="2E4239CA"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Subcontract procurement, development, contract development and contract compliance</w:t>
            </w:r>
          </w:p>
          <w:p w14:paraId="3DAFCE3A"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 xml:space="preserve">Business Services: </w:t>
            </w:r>
          </w:p>
          <w:p w14:paraId="1C876ABA"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Strategic Alignment with Designated Industry Sectors</w:t>
            </w:r>
          </w:p>
          <w:p w14:paraId="12162B61"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Employer Engagement</w:t>
            </w:r>
          </w:p>
          <w:p w14:paraId="778AD87D"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Strategic alliances with stakeholders</w:t>
            </w:r>
          </w:p>
          <w:p w14:paraId="24A032B7" w14:textId="77777777" w:rsidR="0079707E" w:rsidRPr="005C063E" w:rsidRDefault="0079707E" w:rsidP="00E038C3">
            <w:pPr>
              <w:pStyle w:val="ListParagraph"/>
              <w:numPr>
                <w:ilvl w:val="1"/>
                <w:numId w:val="5"/>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 xml:space="preserve">Community engagement </w:t>
            </w:r>
          </w:p>
          <w:p w14:paraId="09416B0C" w14:textId="77777777" w:rsidR="0048792F" w:rsidRDefault="0048792F" w:rsidP="000E74AA">
            <w:pPr>
              <w:contextualSpacing/>
              <w:rPr>
                <w:rFonts w:ascii="Times New Roman" w:eastAsia="Arial" w:hAnsi="Times New Roman" w:cs="Times New Roman"/>
                <w:sz w:val="24"/>
                <w:szCs w:val="24"/>
              </w:rPr>
            </w:pPr>
          </w:p>
          <w:p w14:paraId="30C66156" w14:textId="5005CAC9"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sz w:val="24"/>
                <w:szCs w:val="24"/>
              </w:rPr>
              <w:t>PCG and its wholly owned subsidiary initiated and directed all activities related to the award including:</w:t>
            </w:r>
          </w:p>
          <w:p w14:paraId="4590E553" w14:textId="2DB45FA9"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Developing and submitting competitive Federal applications for the client through grants.gov</w:t>
            </w:r>
          </w:p>
          <w:p w14:paraId="62BA8D1F"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lastRenderedPageBreak/>
              <w:t>Creating the financial and human resources workflows for on-the-job training, paid internships and other work-based learning, employer reimbursement, and training required for Federal compliance</w:t>
            </w:r>
          </w:p>
          <w:p w14:paraId="29C4D4A6"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Developing financial processes and procedure in compliance with federal, state, and local rules and regulations</w:t>
            </w:r>
          </w:p>
          <w:p w14:paraId="7F1EBDD7" w14:textId="77777777" w:rsidR="0079707E" w:rsidRPr="005C063E"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b/>
                <w:sz w:val="24"/>
                <w:szCs w:val="24"/>
              </w:rPr>
              <w:t>Monitoring program performance and compliance against grant requirements</w:t>
            </w:r>
            <w:r w:rsidRPr="005C063E">
              <w:rPr>
                <w:rFonts w:ascii="Times New Roman" w:eastAsia="Arial" w:hAnsi="Times New Roman"/>
                <w:sz w:val="24"/>
                <w:szCs w:val="24"/>
              </w:rPr>
              <w:t xml:space="preserve">, including subrecipient programmatic and fiscal monitoring of local workforce development board partners and performance review, reporting and technical assistance to partners in achievement of grant goals.   </w:t>
            </w:r>
          </w:p>
          <w:p w14:paraId="5965E3A1" w14:textId="1289D838" w:rsidR="0079707E" w:rsidRPr="00B31934" w:rsidRDefault="0079707E" w:rsidP="00E038C3">
            <w:pPr>
              <w:pStyle w:val="ListParagraph"/>
              <w:numPr>
                <w:ilvl w:val="0"/>
                <w:numId w:val="6"/>
              </w:numPr>
              <w:spacing w:line="252" w:lineRule="auto"/>
              <w:rPr>
                <w:rFonts w:ascii="Times New Roman" w:eastAsiaTheme="minorEastAsia" w:hAnsi="Times New Roman"/>
                <w:sz w:val="24"/>
                <w:szCs w:val="24"/>
              </w:rPr>
            </w:pPr>
            <w:r w:rsidRPr="005C063E">
              <w:rPr>
                <w:rFonts w:ascii="Times New Roman" w:eastAsia="Arial" w:hAnsi="Times New Roman"/>
                <w:sz w:val="24"/>
                <w:szCs w:val="24"/>
              </w:rPr>
              <w:t>Coordinating and delivering services to 8 additional workforce boards and serving nearly 2,000 participants in extended training programs</w:t>
            </w:r>
          </w:p>
          <w:p w14:paraId="4D3884BB" w14:textId="77777777" w:rsidR="00B31934" w:rsidRPr="005C063E" w:rsidRDefault="00B31934" w:rsidP="00B31934">
            <w:pPr>
              <w:pStyle w:val="ListParagraph"/>
              <w:spacing w:line="252" w:lineRule="auto"/>
              <w:rPr>
                <w:rFonts w:ascii="Times New Roman" w:eastAsiaTheme="minorEastAsia" w:hAnsi="Times New Roman"/>
                <w:sz w:val="24"/>
                <w:szCs w:val="24"/>
              </w:rPr>
            </w:pPr>
          </w:p>
          <w:p w14:paraId="34DA8183"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Our Kids, Inc., Community Based Care (CBC) Agency</w:t>
            </w:r>
          </w:p>
          <w:p w14:paraId="3DA75941"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Project:</w:t>
            </w:r>
            <w:r w:rsidRPr="005C063E">
              <w:rPr>
                <w:rFonts w:ascii="Times New Roman" w:eastAsia="Arial" w:hAnsi="Times New Roman" w:cs="Times New Roman"/>
                <w:i/>
                <w:iCs/>
                <w:sz w:val="24"/>
                <w:szCs w:val="24"/>
              </w:rPr>
              <w:t xml:space="preserve"> </w:t>
            </w:r>
            <w:r w:rsidRPr="005C063E">
              <w:rPr>
                <w:rFonts w:ascii="Times New Roman" w:eastAsia="Arial" w:hAnsi="Times New Roman" w:cs="Times New Roman"/>
                <w:b/>
                <w:bCs/>
                <w:sz w:val="24"/>
                <w:szCs w:val="24"/>
              </w:rPr>
              <w:t>Fiscal Monitoring</w:t>
            </w:r>
          </w:p>
          <w:p w14:paraId="5817E436" w14:textId="77777777" w:rsidR="0079707E" w:rsidRPr="005C063E" w:rsidRDefault="0079707E" w:rsidP="000E74AA">
            <w:pPr>
              <w:contextualSpacing/>
              <w:rPr>
                <w:rFonts w:ascii="Times New Roman" w:eastAsia="Arial" w:hAnsi="Times New Roman" w:cs="Times New Roman"/>
                <w:b/>
                <w:bCs/>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sz w:val="24"/>
                <w:szCs w:val="24"/>
              </w:rPr>
              <w:t xml:space="preserve"> </w:t>
            </w:r>
            <w:r w:rsidRPr="005C063E">
              <w:rPr>
                <w:rFonts w:ascii="Times New Roman" w:eastAsia="Arial" w:hAnsi="Times New Roman" w:cs="Times New Roman"/>
                <w:b/>
                <w:bCs/>
                <w:sz w:val="24"/>
                <w:szCs w:val="24"/>
              </w:rPr>
              <w:t>Subrecipient Monitoring, Grant Compliance</w:t>
            </w:r>
          </w:p>
          <w:p w14:paraId="279ABE0A"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color w:val="00A0CA"/>
                <w:sz w:val="24"/>
                <w:szCs w:val="24"/>
              </w:rPr>
              <w:t xml:space="preserve">Timeframe: </w:t>
            </w:r>
            <w:r w:rsidRPr="005C063E">
              <w:rPr>
                <w:rFonts w:ascii="Times New Roman" w:eastAsia="Arial" w:hAnsi="Times New Roman" w:cs="Times New Roman"/>
                <w:b/>
                <w:sz w:val="24"/>
                <w:szCs w:val="24"/>
              </w:rPr>
              <w:t>July 2011 – January 2019</w:t>
            </w:r>
          </w:p>
          <w:p w14:paraId="767957FA" w14:textId="0C48D01B" w:rsidR="0079707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eastAsia="Arial" w:hAnsi="Times New Roman" w:cs="Times New Roman"/>
                <w:sz w:val="24"/>
                <w:szCs w:val="24"/>
              </w:rPr>
              <w:t xml:space="preserve">The community-based care (CBC) agency Our Kids Inc. contracted with the Florida Department of Children and Families (DCF) to provide child welfare services for more than 2,000 children in Miami-Dade and Monroe counties.  Our Kids contracted PCG to provide </w:t>
            </w:r>
            <w:r w:rsidRPr="005C063E">
              <w:rPr>
                <w:rFonts w:ascii="Times New Roman" w:eastAsia="Arial" w:hAnsi="Times New Roman" w:cs="Times New Roman"/>
                <w:b/>
                <w:sz w:val="24"/>
                <w:szCs w:val="24"/>
              </w:rPr>
              <w:t>independent fiscal and administrative monitoring services</w:t>
            </w:r>
            <w:r w:rsidRPr="005C063E">
              <w:rPr>
                <w:rFonts w:ascii="Times New Roman" w:eastAsia="Arial" w:hAnsi="Times New Roman" w:cs="Times New Roman"/>
                <w:sz w:val="24"/>
                <w:szCs w:val="24"/>
              </w:rPr>
              <w:t xml:space="preserve"> regarding the financial operations of Our Kids and five full case management agencies (FCMA) subcontracted for the delivery of services. In addition, PCG provided fiscal, administrative, and program compliance monitoring for Prevention Service Providers. Further, PCG performed other studies and assessments such as child residential services provider payment and expense review, and child welfare operational process and procedures evaluations.  </w:t>
            </w:r>
          </w:p>
          <w:p w14:paraId="60644AF0" w14:textId="77777777" w:rsidR="00B31934" w:rsidRPr="005C063E" w:rsidRDefault="00B31934" w:rsidP="000E74AA">
            <w:pPr>
              <w:contextualSpacing/>
              <w:rPr>
                <w:rFonts w:ascii="Times New Roman" w:hAnsi="Times New Roman" w:cs="Times New Roman"/>
                <w:sz w:val="24"/>
                <w:szCs w:val="24"/>
              </w:rPr>
            </w:pPr>
          </w:p>
          <w:p w14:paraId="28310390" w14:textId="029BBCB2" w:rsidR="0079707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sz w:val="24"/>
                <w:szCs w:val="24"/>
              </w:rPr>
              <w:t>PCG performed fiscal, administrative, and program monitoring work for Our Kids to ensure compliance with all applicable Federal and State laws, regulations, action transmittals, program instructions, review guides and similar documentation related to the following: Federal Title IV-E funding, Chapter 39, Florida Statutes; Chapter 287, Florida Statutes; Chapter 409, Florida Statutes; Rule 65C, Florida Administrative Code; Office of Management and Budget Uniform Administrative Requirements, Cost Principles, and Audit Requirements for Federal Awards (2 CFR Part 200) (formerly: OMB Circulars A-110, A-86, A-122, and A-133); and Applicable professional practices and rules.</w:t>
            </w:r>
          </w:p>
          <w:p w14:paraId="2BA2B489" w14:textId="77777777" w:rsidR="00B31934" w:rsidRPr="005C063E" w:rsidRDefault="00B31934" w:rsidP="000E74AA">
            <w:pPr>
              <w:contextualSpacing/>
              <w:rPr>
                <w:rFonts w:ascii="Times New Roman" w:hAnsi="Times New Roman" w:cs="Times New Roman"/>
                <w:sz w:val="24"/>
                <w:szCs w:val="24"/>
              </w:rPr>
            </w:pPr>
          </w:p>
          <w:p w14:paraId="7B627AF5"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 xml:space="preserve">Missouri Department of Social Services </w:t>
            </w:r>
          </w:p>
          <w:p w14:paraId="0C140C6E"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Project:</w:t>
            </w:r>
            <w:r w:rsidRPr="005C063E">
              <w:rPr>
                <w:rFonts w:ascii="Times New Roman" w:eastAsia="Arial" w:hAnsi="Times New Roman" w:cs="Times New Roman"/>
                <w:i/>
                <w:iCs/>
                <w:color w:val="FFFFFF" w:themeColor="background1"/>
                <w:sz w:val="24"/>
                <w:szCs w:val="24"/>
              </w:rPr>
              <w:t xml:space="preserve"> </w:t>
            </w:r>
            <w:r w:rsidRPr="005C063E">
              <w:rPr>
                <w:rFonts w:ascii="Times New Roman" w:eastAsia="Arial" w:hAnsi="Times New Roman" w:cs="Times New Roman"/>
                <w:b/>
                <w:bCs/>
                <w:sz w:val="24"/>
                <w:szCs w:val="24"/>
              </w:rPr>
              <w:t>CSBG and LIHEAP Financial Subrecipient Monitoring Services</w:t>
            </w:r>
          </w:p>
          <w:p w14:paraId="782DA283" w14:textId="77777777" w:rsidR="0079707E" w:rsidRPr="005C063E" w:rsidRDefault="0079707E" w:rsidP="000E74AA">
            <w:pPr>
              <w:contextualSpacing/>
              <w:rPr>
                <w:rFonts w:ascii="Times New Roman" w:eastAsia="Arial" w:hAnsi="Times New Roman" w:cs="Times New Roman"/>
                <w:b/>
                <w:bCs/>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color w:val="00A0CA"/>
                <w:sz w:val="24"/>
                <w:szCs w:val="24"/>
              </w:rPr>
              <w:t xml:space="preserve"> </w:t>
            </w:r>
            <w:r w:rsidRPr="005C063E">
              <w:rPr>
                <w:rFonts w:ascii="Times New Roman" w:eastAsia="Arial" w:hAnsi="Times New Roman" w:cs="Times New Roman"/>
                <w:b/>
                <w:bCs/>
                <w:sz w:val="24"/>
                <w:szCs w:val="24"/>
              </w:rPr>
              <w:t>Subrecipient Monitoring, Grant Compliance</w:t>
            </w:r>
          </w:p>
          <w:p w14:paraId="09C07188"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color w:val="00A0CA"/>
                <w:sz w:val="24"/>
                <w:szCs w:val="24"/>
              </w:rPr>
              <w:t xml:space="preserve">Timeframe: </w:t>
            </w:r>
            <w:r w:rsidRPr="005C063E">
              <w:rPr>
                <w:rFonts w:ascii="Times New Roman" w:eastAsia="Arial" w:hAnsi="Times New Roman" w:cs="Times New Roman"/>
                <w:b/>
                <w:sz w:val="24"/>
                <w:szCs w:val="24"/>
              </w:rPr>
              <w:t>April – September 2018</w:t>
            </w:r>
          </w:p>
          <w:p w14:paraId="36D01E49" w14:textId="55068AE2" w:rsidR="0079707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eastAsia="Arial" w:hAnsi="Times New Roman" w:cs="Times New Roman"/>
                <w:sz w:val="24"/>
                <w:szCs w:val="24"/>
              </w:rPr>
              <w:t xml:space="preserve">The Missouri DSS, Division of Finance and Administrative Services (DFAS) contracted with PCG to perform desk and on-site financial monitoring of Community Action Agencies’ administration of the Community Services Block Grant program (CSBG) and Low-Income Housing Energy Assistance Program (LIHEAP) to ensure these programs are administered in compliance with federal regulations. </w:t>
            </w:r>
            <w:r w:rsidRPr="005C063E">
              <w:rPr>
                <w:rFonts w:ascii="Times New Roman" w:eastAsia="Arial" w:hAnsi="Times New Roman" w:cs="Times New Roman"/>
                <w:b/>
                <w:sz w:val="24"/>
                <w:szCs w:val="24"/>
              </w:rPr>
              <w:t>PCG conducted desk reviews and site visits to six Community Action Agencies</w:t>
            </w:r>
            <w:r w:rsidRPr="005C063E">
              <w:rPr>
                <w:rFonts w:ascii="Times New Roman" w:eastAsia="Arial" w:hAnsi="Times New Roman" w:cs="Times New Roman"/>
                <w:sz w:val="24"/>
                <w:szCs w:val="24"/>
              </w:rPr>
              <w:t xml:space="preserve"> to ensure programs were in compliance with all applicable laws and regulations. The monitoring team reviewed financial and administrative documents, as well as conducted face-to-face interviews with management, staff and board members as needed for each of the six agencies. The documents reviewed and interviews conducted formed the basis of monitoring reports which included findings of non-compliance and/or opportunities for improvement in the relevant programs. When applicable, the reports </w:t>
            </w:r>
            <w:r w:rsidRPr="005C063E">
              <w:rPr>
                <w:rFonts w:ascii="Times New Roman" w:eastAsia="Arial" w:hAnsi="Times New Roman" w:cs="Times New Roman"/>
                <w:sz w:val="24"/>
                <w:szCs w:val="24"/>
              </w:rPr>
              <w:lastRenderedPageBreak/>
              <w:t>outlined the need for corrective action and deadline for submission of a plan of action to address the issue/s.</w:t>
            </w:r>
          </w:p>
          <w:p w14:paraId="770AE9F9" w14:textId="77777777" w:rsidR="00EF7038" w:rsidRPr="005C063E" w:rsidRDefault="00EF7038" w:rsidP="000E74AA">
            <w:pPr>
              <w:contextualSpacing/>
              <w:rPr>
                <w:rFonts w:ascii="Times New Roman" w:hAnsi="Times New Roman" w:cs="Times New Roman"/>
                <w:sz w:val="24"/>
                <w:szCs w:val="24"/>
              </w:rPr>
            </w:pPr>
          </w:p>
          <w:p w14:paraId="6926B2FB"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Organization:</w:t>
            </w:r>
            <w:r w:rsidRPr="005C063E">
              <w:rPr>
                <w:rFonts w:ascii="Times New Roman" w:eastAsia="Arial" w:hAnsi="Times New Roman" w:cs="Times New Roman"/>
                <w:b/>
                <w:bCs/>
                <w:sz w:val="24"/>
                <w:szCs w:val="24"/>
              </w:rPr>
              <w:t xml:space="preserve"> Missouri, Department of Social Services</w:t>
            </w:r>
          </w:p>
          <w:p w14:paraId="0CAD2692"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Project:</w:t>
            </w:r>
            <w:r w:rsidRPr="005C063E">
              <w:rPr>
                <w:rFonts w:ascii="Times New Roman" w:eastAsia="Arial" w:hAnsi="Times New Roman" w:cs="Times New Roman"/>
                <w:i/>
                <w:iCs/>
                <w:sz w:val="24"/>
                <w:szCs w:val="24"/>
              </w:rPr>
              <w:t xml:space="preserve"> </w:t>
            </w:r>
            <w:r w:rsidRPr="005C063E">
              <w:rPr>
                <w:rFonts w:ascii="Times New Roman" w:eastAsia="Arial" w:hAnsi="Times New Roman" w:cs="Times New Roman"/>
                <w:b/>
                <w:bCs/>
                <w:sz w:val="24"/>
                <w:szCs w:val="24"/>
              </w:rPr>
              <w:t>DFAS Employment and Training Programs (TANF, SNAP E&amp;T, Summer Jobs) Financial Monitoring and Compliance Review Services</w:t>
            </w:r>
          </w:p>
          <w:p w14:paraId="69AD6B47" w14:textId="77777777" w:rsidR="0079707E" w:rsidRPr="005C063E" w:rsidRDefault="0079707E" w:rsidP="000E74AA">
            <w:pPr>
              <w:contextualSpacing/>
              <w:rPr>
                <w:rFonts w:ascii="Times New Roman" w:eastAsia="Arial" w:hAnsi="Times New Roman" w:cs="Times New Roman"/>
                <w:b/>
                <w:bCs/>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color w:val="00A0CA"/>
                <w:sz w:val="24"/>
                <w:szCs w:val="24"/>
              </w:rPr>
              <w:t xml:space="preserve"> </w:t>
            </w:r>
            <w:r w:rsidRPr="005C063E">
              <w:rPr>
                <w:rFonts w:ascii="Times New Roman" w:eastAsia="Arial" w:hAnsi="Times New Roman" w:cs="Times New Roman"/>
                <w:b/>
                <w:bCs/>
                <w:sz w:val="24"/>
                <w:szCs w:val="24"/>
              </w:rPr>
              <w:t>Subrecipient Monitoring, Grant Compliance</w:t>
            </w:r>
          </w:p>
          <w:p w14:paraId="3CF9847F"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color w:val="00A0CA"/>
                <w:sz w:val="24"/>
                <w:szCs w:val="24"/>
              </w:rPr>
              <w:t xml:space="preserve">Timeframe: </w:t>
            </w:r>
            <w:r w:rsidRPr="005C063E">
              <w:rPr>
                <w:rFonts w:ascii="Times New Roman" w:eastAsia="Arial" w:hAnsi="Times New Roman" w:cs="Times New Roman"/>
                <w:b/>
                <w:sz w:val="24"/>
                <w:szCs w:val="24"/>
              </w:rPr>
              <w:t>June 2019 – Present</w:t>
            </w:r>
          </w:p>
          <w:p w14:paraId="4B5CBFB9" w14:textId="221C7FFC" w:rsidR="0079707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eastAsia="Arial" w:hAnsi="Times New Roman" w:cs="Times New Roman"/>
                <w:sz w:val="24"/>
                <w:szCs w:val="24"/>
              </w:rPr>
              <w:t xml:space="preserve">The Missouri Division of Financial and Administrative Services, Compliance Services Unit, contracted with PCG to perform </w:t>
            </w:r>
            <w:r w:rsidRPr="005C063E">
              <w:rPr>
                <w:rFonts w:ascii="Times New Roman" w:eastAsia="Arial" w:hAnsi="Times New Roman" w:cs="Times New Roman"/>
                <w:b/>
                <w:sz w:val="24"/>
                <w:szCs w:val="24"/>
              </w:rPr>
              <w:t>desk and on-site financial compliance monitoring</w:t>
            </w:r>
            <w:r w:rsidRPr="005C063E">
              <w:rPr>
                <w:rFonts w:ascii="Times New Roman" w:eastAsia="Arial" w:hAnsi="Times New Roman" w:cs="Times New Roman"/>
                <w:sz w:val="24"/>
                <w:szCs w:val="24"/>
              </w:rPr>
              <w:t xml:space="preserve"> of all employment and training programs as follows during calendar year 2019: Temporary Assistance for Needy Families (TANF) Missouri Work Assistance (MWA) program; Supplemental Nutrition Assistance Program (SNAP) SkillUp program, and the Summer Jobs program.</w:t>
            </w:r>
          </w:p>
          <w:p w14:paraId="3A6699A6" w14:textId="77777777" w:rsidR="00303F14" w:rsidRPr="005C063E" w:rsidRDefault="00303F14" w:rsidP="000E74AA">
            <w:pPr>
              <w:contextualSpacing/>
              <w:rPr>
                <w:rFonts w:ascii="Times New Roman" w:hAnsi="Times New Roman" w:cs="Times New Roman"/>
                <w:sz w:val="24"/>
                <w:szCs w:val="24"/>
              </w:rPr>
            </w:pPr>
          </w:p>
          <w:p w14:paraId="4033EFE7" w14:textId="3DDEF795" w:rsidR="0079707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sz w:val="24"/>
                <w:szCs w:val="24"/>
              </w:rPr>
              <w:t>PCG’s work under this engagement entailed desk reviews and scheduling on-site visits with providers, who were contracted with DSS to perform Missouri Work Assistance (MWA) and SkillU</w:t>
            </w:r>
            <w:r w:rsidR="00303F14">
              <w:rPr>
                <w:rFonts w:ascii="Times New Roman" w:eastAsia="Arial" w:hAnsi="Times New Roman" w:cs="Times New Roman"/>
                <w:sz w:val="24"/>
                <w:szCs w:val="24"/>
              </w:rPr>
              <w:t>p</w:t>
            </w:r>
            <w:r w:rsidRPr="005C063E">
              <w:rPr>
                <w:rFonts w:ascii="Times New Roman" w:eastAsia="Arial" w:hAnsi="Times New Roman" w:cs="Times New Roman"/>
                <w:sz w:val="24"/>
                <w:szCs w:val="24"/>
              </w:rPr>
              <w:t xml:space="preserve"> services. Our monitoring efforts provided a level of assurance that agencies administered Federal awards were in compliance with laws, regulations, grant agreements and contracts. PCG reviewed financial documents including general and payroll ledgers, bank statements, and expenditures. PCG’s team also reviewed administrative documents that included the agency’s policy and procedures, and board minutes. We conducted face-to-face interviews with provider staff. A report was provided to DFAS that summarized our findings, federal or state criteria related to the finding, recommendations for improvement, and required corrective action.</w:t>
            </w:r>
          </w:p>
          <w:p w14:paraId="2DCCD650" w14:textId="77777777" w:rsidR="007E0A3C" w:rsidRPr="005C063E" w:rsidRDefault="007E0A3C" w:rsidP="000E74AA">
            <w:pPr>
              <w:contextualSpacing/>
              <w:rPr>
                <w:rFonts w:ascii="Times New Roman" w:eastAsia="Calibri" w:hAnsi="Times New Roman" w:cs="Times New Roman"/>
                <w:sz w:val="24"/>
                <w:szCs w:val="24"/>
              </w:rPr>
            </w:pPr>
          </w:p>
          <w:p w14:paraId="238746A3" w14:textId="77777777" w:rsidR="0079707E" w:rsidRPr="005C063E" w:rsidRDefault="0079707E" w:rsidP="000E74AA">
            <w:pPr>
              <w:contextualSpacing/>
              <w:rPr>
                <w:rFonts w:ascii="Times New Roman" w:hAnsi="Times New Roman" w:cs="Times New Roman"/>
                <w:b/>
                <w:bCs/>
                <w:sz w:val="24"/>
                <w:szCs w:val="24"/>
              </w:rPr>
            </w:pPr>
            <w:r w:rsidRPr="005C063E">
              <w:rPr>
                <w:rFonts w:ascii="Times New Roman" w:eastAsia="Arial" w:hAnsi="Times New Roman" w:cs="Times New Roman"/>
                <w:b/>
                <w:bCs/>
                <w:color w:val="00A0CA"/>
                <w:sz w:val="24"/>
                <w:szCs w:val="24"/>
              </w:rPr>
              <w:t>Organization:</w:t>
            </w:r>
            <w:r w:rsidRPr="005C063E">
              <w:rPr>
                <w:rFonts w:ascii="Times New Roman" w:eastAsia="Arial" w:hAnsi="Times New Roman" w:cs="Times New Roman"/>
                <w:b/>
                <w:bCs/>
                <w:sz w:val="24"/>
                <w:szCs w:val="24"/>
              </w:rPr>
              <w:t xml:space="preserve"> </w:t>
            </w:r>
            <w:r w:rsidRPr="005C063E">
              <w:rPr>
                <w:rFonts w:ascii="Times New Roman" w:hAnsi="Times New Roman" w:cs="Times New Roman"/>
                <w:b/>
                <w:bCs/>
                <w:sz w:val="24"/>
                <w:szCs w:val="24"/>
              </w:rPr>
              <w:t>Rhode Island Department of Labor and Training</w:t>
            </w:r>
          </w:p>
          <w:p w14:paraId="17ADAD44"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Project:</w:t>
            </w:r>
            <w:r w:rsidRPr="005C063E">
              <w:rPr>
                <w:rFonts w:ascii="Times New Roman" w:eastAsia="Arial" w:hAnsi="Times New Roman" w:cs="Times New Roman"/>
                <w:i/>
                <w:iCs/>
                <w:sz w:val="24"/>
                <w:szCs w:val="24"/>
              </w:rPr>
              <w:t xml:space="preserve"> </w:t>
            </w:r>
            <w:r w:rsidRPr="005C063E">
              <w:rPr>
                <w:rFonts w:ascii="Times New Roman" w:eastAsia="Arial" w:hAnsi="Times New Roman" w:cs="Times New Roman"/>
                <w:b/>
                <w:bCs/>
                <w:sz w:val="24"/>
                <w:szCs w:val="24"/>
              </w:rPr>
              <w:t>DLT System Support</w:t>
            </w:r>
          </w:p>
          <w:p w14:paraId="7CDCB934"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color w:val="00A0CA"/>
                <w:sz w:val="24"/>
                <w:szCs w:val="24"/>
              </w:rPr>
              <w:t xml:space="preserve"> </w:t>
            </w:r>
            <w:r w:rsidRPr="005C063E">
              <w:rPr>
                <w:rFonts w:ascii="Times New Roman" w:eastAsia="Arial" w:hAnsi="Times New Roman" w:cs="Times New Roman"/>
                <w:b/>
                <w:bCs/>
                <w:sz w:val="24"/>
                <w:szCs w:val="24"/>
              </w:rPr>
              <w:t>I</w:t>
            </w:r>
            <w:r w:rsidRPr="005C063E">
              <w:rPr>
                <w:rFonts w:ascii="Times New Roman" w:hAnsi="Times New Roman" w:cs="Times New Roman"/>
                <w:b/>
                <w:bCs/>
                <w:sz w:val="24"/>
                <w:szCs w:val="24"/>
              </w:rPr>
              <w:t>nvoicing, Monitoring, Budgeting, and Grant Coordination</w:t>
            </w:r>
          </w:p>
          <w:p w14:paraId="3ABA063D" w14:textId="77777777" w:rsidR="0079707E" w:rsidRPr="005C063E" w:rsidRDefault="0079707E" w:rsidP="000E74AA">
            <w:pPr>
              <w:contextualSpacing/>
              <w:rPr>
                <w:rFonts w:ascii="Times New Roman" w:eastAsia="Arial" w:hAnsi="Times New Roman" w:cs="Times New Roman"/>
                <w:b/>
                <w:bCs/>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bCs/>
                <w:sz w:val="24"/>
                <w:szCs w:val="24"/>
              </w:rPr>
              <w:t xml:space="preserve">2019 </w:t>
            </w:r>
            <w:r w:rsidRPr="005C063E">
              <w:rPr>
                <w:rFonts w:ascii="Times New Roman" w:eastAsia="Arial" w:hAnsi="Times New Roman" w:cs="Times New Roman"/>
                <w:b/>
                <w:sz w:val="24"/>
                <w:szCs w:val="24"/>
              </w:rPr>
              <w:t>–</w:t>
            </w:r>
            <w:r w:rsidRPr="005C063E">
              <w:rPr>
                <w:rFonts w:ascii="Times New Roman" w:eastAsia="Arial" w:hAnsi="Times New Roman" w:cs="Times New Roman"/>
                <w:b/>
                <w:bCs/>
                <w:sz w:val="24"/>
                <w:szCs w:val="24"/>
              </w:rPr>
              <w:t xml:space="preserve"> Present</w:t>
            </w:r>
          </w:p>
          <w:p w14:paraId="0D8E1FDD" w14:textId="52D84536" w:rsidR="0079707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hAnsi="Times New Roman" w:cs="Times New Roman"/>
                <w:sz w:val="24"/>
                <w:szCs w:val="24"/>
              </w:rPr>
              <w:t>DLT has enlisted PCG to assist with the design and implementation of several new Business Affairs sub-units to add capacity for R</w:t>
            </w:r>
            <w:r w:rsidR="00CA0233">
              <w:rPr>
                <w:rFonts w:ascii="Times New Roman" w:hAnsi="Times New Roman" w:cs="Times New Roman"/>
                <w:sz w:val="24"/>
                <w:szCs w:val="24"/>
              </w:rPr>
              <w:t xml:space="preserve">eal </w:t>
            </w:r>
            <w:r w:rsidRPr="005C063E">
              <w:rPr>
                <w:rFonts w:ascii="Times New Roman" w:hAnsi="Times New Roman" w:cs="Times New Roman"/>
                <w:sz w:val="24"/>
                <w:szCs w:val="24"/>
              </w:rPr>
              <w:t>J</w:t>
            </w:r>
            <w:r w:rsidR="00CA0233">
              <w:rPr>
                <w:rFonts w:ascii="Times New Roman" w:hAnsi="Times New Roman" w:cs="Times New Roman"/>
                <w:sz w:val="24"/>
                <w:szCs w:val="24"/>
              </w:rPr>
              <w:t xml:space="preserve">obs </w:t>
            </w:r>
            <w:r w:rsidRPr="005C063E">
              <w:rPr>
                <w:rFonts w:ascii="Times New Roman" w:hAnsi="Times New Roman" w:cs="Times New Roman"/>
                <w:sz w:val="24"/>
                <w:szCs w:val="24"/>
              </w:rPr>
              <w:t>R</w:t>
            </w:r>
            <w:r w:rsidR="00CA0233">
              <w:rPr>
                <w:rFonts w:ascii="Times New Roman" w:hAnsi="Times New Roman" w:cs="Times New Roman"/>
                <w:sz w:val="24"/>
                <w:szCs w:val="24"/>
              </w:rPr>
              <w:t xml:space="preserve">hode </w:t>
            </w:r>
            <w:r w:rsidRPr="005C063E">
              <w:rPr>
                <w:rFonts w:ascii="Times New Roman" w:hAnsi="Times New Roman" w:cs="Times New Roman"/>
                <w:sz w:val="24"/>
                <w:szCs w:val="24"/>
              </w:rPr>
              <w:t>I</w:t>
            </w:r>
            <w:r w:rsidR="00CA0233">
              <w:rPr>
                <w:rFonts w:ascii="Times New Roman" w:hAnsi="Times New Roman" w:cs="Times New Roman"/>
                <w:sz w:val="24"/>
                <w:szCs w:val="24"/>
              </w:rPr>
              <w:t>sland</w:t>
            </w:r>
            <w:r w:rsidRPr="005C063E">
              <w:rPr>
                <w:rFonts w:ascii="Times New Roman" w:hAnsi="Times New Roman" w:cs="Times New Roman"/>
                <w:sz w:val="24"/>
                <w:szCs w:val="24"/>
              </w:rPr>
              <w:t xml:space="preserve"> invoicing, monitoring, budgeting, and grant coordination.</w:t>
            </w:r>
            <w:r w:rsidRPr="005C063E">
              <w:rPr>
                <w:rFonts w:ascii="Times New Roman" w:hAnsi="Times New Roman" w:cs="Times New Roman"/>
                <w:b/>
                <w:bCs/>
                <w:sz w:val="24"/>
                <w:szCs w:val="24"/>
              </w:rPr>
              <w:t xml:space="preserve"> </w:t>
            </w:r>
            <w:r w:rsidRPr="005C063E">
              <w:rPr>
                <w:rFonts w:ascii="Times New Roman" w:hAnsi="Times New Roman" w:cs="Times New Roman"/>
                <w:sz w:val="24"/>
                <w:szCs w:val="24"/>
              </w:rPr>
              <w:t xml:space="preserve">Additionally, PCG is tasked with developing programmatic functions, planning tools, and </w:t>
            </w:r>
            <w:r w:rsidRPr="005C063E">
              <w:rPr>
                <w:rFonts w:ascii="Times New Roman" w:hAnsi="Times New Roman" w:cs="Times New Roman"/>
                <w:b/>
                <w:sz w:val="24"/>
                <w:szCs w:val="24"/>
              </w:rPr>
              <w:t>standard processes to assist with new and ongoing fiscal management and compliance</w:t>
            </w:r>
            <w:r w:rsidRPr="005C063E">
              <w:rPr>
                <w:rFonts w:ascii="Times New Roman" w:hAnsi="Times New Roman" w:cs="Times New Roman"/>
                <w:sz w:val="24"/>
                <w:szCs w:val="24"/>
              </w:rPr>
              <w:t>. As the project has moved forward, PCG has become involved in additional elements, including the development and implementation of the Back to Work RI COVID-19 recovery program.</w:t>
            </w:r>
          </w:p>
          <w:p w14:paraId="4DE41B08" w14:textId="77777777" w:rsidR="00413375" w:rsidRPr="005C063E" w:rsidRDefault="00413375" w:rsidP="000E74AA">
            <w:pPr>
              <w:contextualSpacing/>
              <w:rPr>
                <w:rFonts w:ascii="Times New Roman" w:hAnsi="Times New Roman" w:cs="Times New Roman"/>
                <w:sz w:val="24"/>
                <w:szCs w:val="24"/>
              </w:rPr>
            </w:pPr>
          </w:p>
          <w:p w14:paraId="7C621695" w14:textId="39C27265" w:rsidR="0079707E" w:rsidRPr="00413375" w:rsidRDefault="0079707E" w:rsidP="000E74AA">
            <w:pPr>
              <w:pStyle w:val="NoSpacing"/>
              <w:contextualSpacing/>
              <w:rPr>
                <w:rFonts w:ascii="Times New Roman" w:hAnsi="Times New Roman"/>
                <w:color w:val="auto"/>
                <w:sz w:val="24"/>
                <w:szCs w:val="24"/>
              </w:rPr>
            </w:pPr>
            <w:r w:rsidRPr="005C063E">
              <w:rPr>
                <w:rFonts w:ascii="Times New Roman" w:hAnsi="Times New Roman"/>
                <w:color w:val="auto"/>
                <w:sz w:val="24"/>
                <w:szCs w:val="24"/>
              </w:rPr>
              <w:t>The DLT System Support project has completed the following activities to date:</w:t>
            </w:r>
          </w:p>
          <w:p w14:paraId="5A0956C0" w14:textId="340D0BDB" w:rsidR="0079707E" w:rsidRPr="005C063E" w:rsidRDefault="0079707E" w:rsidP="00E038C3">
            <w:pPr>
              <w:pStyle w:val="ListParagraph"/>
              <w:numPr>
                <w:ilvl w:val="0"/>
                <w:numId w:val="7"/>
              </w:numPr>
              <w:ind w:left="700"/>
              <w:rPr>
                <w:rFonts w:ascii="Times New Roman" w:hAnsi="Times New Roman"/>
                <w:sz w:val="24"/>
                <w:szCs w:val="24"/>
              </w:rPr>
            </w:pPr>
            <w:r w:rsidRPr="005C063E">
              <w:rPr>
                <w:rFonts w:ascii="Times New Roman" w:hAnsi="Times New Roman"/>
                <w:b/>
                <w:bCs/>
                <w:sz w:val="24"/>
                <w:szCs w:val="24"/>
              </w:rPr>
              <w:t xml:space="preserve">Best practices research </w:t>
            </w:r>
            <w:r w:rsidR="00413375">
              <w:rPr>
                <w:rFonts w:ascii="Times New Roman" w:hAnsi="Times New Roman"/>
                <w:b/>
                <w:bCs/>
                <w:sz w:val="24"/>
                <w:szCs w:val="24"/>
              </w:rPr>
              <w:t>–</w:t>
            </w:r>
            <w:r w:rsidRPr="005C063E">
              <w:rPr>
                <w:rFonts w:ascii="Times New Roman" w:hAnsi="Times New Roman"/>
                <w:b/>
                <w:bCs/>
                <w:sz w:val="24"/>
                <w:szCs w:val="24"/>
              </w:rPr>
              <w:t xml:space="preserve"> </w:t>
            </w:r>
            <w:r w:rsidRPr="005C063E">
              <w:rPr>
                <w:rFonts w:ascii="Times New Roman" w:hAnsi="Times New Roman"/>
                <w:sz w:val="24"/>
                <w:szCs w:val="24"/>
              </w:rPr>
              <w:t xml:space="preserve">PCG collected and curated best practices to support the design of each of the new business units. </w:t>
            </w:r>
          </w:p>
          <w:p w14:paraId="3351F112" w14:textId="77777777" w:rsidR="0079707E" w:rsidRPr="005C063E" w:rsidRDefault="0079707E" w:rsidP="00E038C3">
            <w:pPr>
              <w:pStyle w:val="NoSpacing"/>
              <w:numPr>
                <w:ilvl w:val="0"/>
                <w:numId w:val="7"/>
              </w:numPr>
              <w:ind w:left="700"/>
              <w:contextualSpacing/>
              <w:rPr>
                <w:rFonts w:ascii="Times New Roman" w:hAnsi="Times New Roman"/>
                <w:color w:val="auto"/>
                <w:sz w:val="24"/>
                <w:szCs w:val="24"/>
              </w:rPr>
            </w:pPr>
            <w:r w:rsidRPr="005C063E">
              <w:rPr>
                <w:rFonts w:ascii="Times New Roman" w:hAnsi="Times New Roman"/>
                <w:b/>
                <w:bCs/>
                <w:color w:val="auto"/>
                <w:sz w:val="24"/>
                <w:szCs w:val="24"/>
              </w:rPr>
              <w:t xml:space="preserve">Operations review and design – </w:t>
            </w:r>
            <w:r w:rsidRPr="005C063E">
              <w:rPr>
                <w:rFonts w:ascii="Times New Roman" w:hAnsi="Times New Roman"/>
                <w:color w:val="auto"/>
                <w:sz w:val="24"/>
                <w:szCs w:val="24"/>
              </w:rPr>
              <w:t>PCG assessed and documented key current processes;</w:t>
            </w:r>
            <w:r w:rsidRPr="005C063E">
              <w:rPr>
                <w:rFonts w:ascii="Times New Roman" w:hAnsi="Times New Roman"/>
                <w:b/>
                <w:bCs/>
                <w:color w:val="auto"/>
                <w:sz w:val="24"/>
                <w:szCs w:val="24"/>
              </w:rPr>
              <w:t xml:space="preserve"> </w:t>
            </w:r>
            <w:r w:rsidRPr="005C063E">
              <w:rPr>
                <w:rFonts w:ascii="Times New Roman" w:hAnsi="Times New Roman"/>
                <w:color w:val="auto"/>
                <w:sz w:val="24"/>
                <w:szCs w:val="24"/>
              </w:rPr>
              <w:t>with DLT, determined mission and goals for new business units; designed new unit processes and worked towards integration with existing business units. Additionally, PCG worked with DLT to develop roles, responsibilities, design principles, and business requirements for new units.</w:t>
            </w:r>
          </w:p>
          <w:p w14:paraId="699A19E6" w14:textId="77777777" w:rsidR="0079707E" w:rsidRPr="005C063E" w:rsidRDefault="0079707E" w:rsidP="00E038C3">
            <w:pPr>
              <w:pStyle w:val="NoSpacing"/>
              <w:numPr>
                <w:ilvl w:val="0"/>
                <w:numId w:val="7"/>
              </w:numPr>
              <w:ind w:left="700"/>
              <w:contextualSpacing/>
              <w:rPr>
                <w:rFonts w:ascii="Times New Roman" w:hAnsi="Times New Roman"/>
                <w:color w:val="auto"/>
                <w:sz w:val="24"/>
                <w:szCs w:val="24"/>
              </w:rPr>
            </w:pPr>
            <w:r w:rsidRPr="005C063E">
              <w:rPr>
                <w:rFonts w:ascii="Times New Roman" w:hAnsi="Times New Roman"/>
                <w:b/>
                <w:bCs/>
                <w:color w:val="auto"/>
                <w:sz w:val="24"/>
                <w:szCs w:val="24"/>
              </w:rPr>
              <w:t xml:space="preserve">Development of policy and procedure guidance – </w:t>
            </w:r>
            <w:r w:rsidRPr="005C063E">
              <w:rPr>
                <w:rFonts w:ascii="Times New Roman" w:hAnsi="Times New Roman"/>
                <w:color w:val="auto"/>
                <w:sz w:val="24"/>
                <w:szCs w:val="24"/>
              </w:rPr>
              <w:t>PCG drafted standard operating procedures for revised business processes and created tools to assist both agency staff and external stakeholders with updated processes.</w:t>
            </w:r>
          </w:p>
          <w:p w14:paraId="57E08F01" w14:textId="77777777" w:rsidR="0079707E" w:rsidRPr="005C063E" w:rsidRDefault="0079707E" w:rsidP="00E038C3">
            <w:pPr>
              <w:pStyle w:val="NoSpacing"/>
              <w:numPr>
                <w:ilvl w:val="0"/>
                <w:numId w:val="7"/>
              </w:numPr>
              <w:ind w:left="700"/>
              <w:contextualSpacing/>
              <w:rPr>
                <w:rFonts w:ascii="Times New Roman" w:hAnsi="Times New Roman"/>
                <w:color w:val="auto"/>
                <w:sz w:val="24"/>
                <w:szCs w:val="24"/>
              </w:rPr>
            </w:pPr>
            <w:r w:rsidRPr="005C063E">
              <w:rPr>
                <w:rFonts w:ascii="Times New Roman" w:hAnsi="Times New Roman"/>
                <w:b/>
                <w:bCs/>
                <w:color w:val="auto"/>
                <w:sz w:val="24"/>
                <w:szCs w:val="24"/>
              </w:rPr>
              <w:t>Change management</w:t>
            </w:r>
            <w:r w:rsidRPr="005C063E">
              <w:rPr>
                <w:rFonts w:ascii="Times New Roman" w:hAnsi="Times New Roman"/>
                <w:color w:val="auto"/>
                <w:sz w:val="24"/>
                <w:szCs w:val="24"/>
              </w:rPr>
              <w:t xml:space="preserve"> – PCG worked to incorporate change management into each step of the project. Regular meetings ensured that managers, supervisors, and impacted staff were aware of proposed process changes and had the opportunity to provide feedback and input </w:t>
            </w:r>
            <w:r w:rsidRPr="005C063E">
              <w:rPr>
                <w:rFonts w:ascii="Times New Roman" w:hAnsi="Times New Roman"/>
                <w:color w:val="auto"/>
                <w:sz w:val="24"/>
                <w:szCs w:val="24"/>
              </w:rPr>
              <w:lastRenderedPageBreak/>
              <w:t>prior to implementation. PCG also supported several DLT efforts to communicate with staff about process changes and their role within them.</w:t>
            </w:r>
          </w:p>
          <w:p w14:paraId="5CDAFC44" w14:textId="77777777" w:rsidR="0079707E" w:rsidRPr="005C063E" w:rsidRDefault="0079707E" w:rsidP="00E038C3">
            <w:pPr>
              <w:pStyle w:val="NoSpacing"/>
              <w:numPr>
                <w:ilvl w:val="0"/>
                <w:numId w:val="7"/>
              </w:numPr>
              <w:ind w:left="700"/>
              <w:contextualSpacing/>
              <w:rPr>
                <w:rFonts w:ascii="Times New Roman" w:hAnsi="Times New Roman"/>
                <w:color w:val="auto"/>
                <w:sz w:val="24"/>
                <w:szCs w:val="24"/>
              </w:rPr>
            </w:pPr>
            <w:r w:rsidRPr="005C063E">
              <w:rPr>
                <w:rFonts w:ascii="Times New Roman" w:hAnsi="Times New Roman"/>
                <w:b/>
                <w:bCs/>
                <w:color w:val="auto"/>
                <w:sz w:val="24"/>
                <w:szCs w:val="24"/>
              </w:rPr>
              <w:t xml:space="preserve">Invoice Review – </w:t>
            </w:r>
            <w:r w:rsidRPr="005C063E">
              <w:rPr>
                <w:rFonts w:ascii="Times New Roman" w:hAnsi="Times New Roman"/>
                <w:color w:val="auto"/>
                <w:sz w:val="24"/>
                <w:szCs w:val="24"/>
              </w:rPr>
              <w:t xml:space="preserve">PCG was tasked by DLT with recruiting, training, and overseeing a team of 10 staff to interpret and compile ~2000 paper invoices into a digital format, providing the agency with a more detailed view of program expenses. </w:t>
            </w:r>
          </w:p>
          <w:p w14:paraId="7A5EF178" w14:textId="77777777" w:rsidR="0079707E" w:rsidRPr="005C063E" w:rsidRDefault="0079707E" w:rsidP="000E74AA">
            <w:pPr>
              <w:pStyle w:val="NoSpacing"/>
              <w:contextualSpacing/>
              <w:rPr>
                <w:rFonts w:ascii="Times New Roman" w:eastAsia="Arial" w:hAnsi="Times New Roman"/>
                <w:color w:val="000000"/>
                <w:sz w:val="24"/>
                <w:szCs w:val="24"/>
              </w:rPr>
            </w:pPr>
          </w:p>
          <w:p w14:paraId="27628427"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 xml:space="preserve">Commonwealth of Massachusetts, Executive Office of Labor and Workforce Development (EOLWD) </w:t>
            </w:r>
          </w:p>
          <w:p w14:paraId="097493E1"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Project:</w:t>
            </w:r>
            <w:r w:rsidRPr="005C063E">
              <w:rPr>
                <w:rFonts w:ascii="Times New Roman" w:eastAsia="Arial" w:hAnsi="Times New Roman" w:cs="Times New Roman"/>
                <w:i/>
                <w:iCs/>
                <w:color w:val="00A0CA"/>
                <w:sz w:val="24"/>
                <w:szCs w:val="24"/>
              </w:rPr>
              <w:t xml:space="preserve"> </w:t>
            </w:r>
            <w:r w:rsidRPr="005C063E">
              <w:rPr>
                <w:rFonts w:ascii="Times New Roman" w:eastAsia="Arial" w:hAnsi="Times New Roman" w:cs="Times New Roman"/>
                <w:b/>
                <w:bCs/>
                <w:sz w:val="24"/>
                <w:szCs w:val="24"/>
              </w:rPr>
              <w:t>Grant Review Services</w:t>
            </w:r>
          </w:p>
          <w:p w14:paraId="5859CBB2"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Expertise:</w:t>
            </w:r>
            <w:r w:rsidRPr="005C063E">
              <w:rPr>
                <w:rFonts w:ascii="Times New Roman" w:eastAsia="Arial" w:hAnsi="Times New Roman" w:cs="Times New Roman"/>
                <w:b/>
                <w:bCs/>
                <w:i/>
                <w:iCs/>
                <w:color w:val="00A0CA"/>
                <w:sz w:val="24"/>
                <w:szCs w:val="24"/>
              </w:rPr>
              <w:t xml:space="preserve"> </w:t>
            </w:r>
            <w:r w:rsidRPr="005C063E">
              <w:rPr>
                <w:rFonts w:ascii="Times New Roman" w:eastAsia="Arial" w:hAnsi="Times New Roman" w:cs="Times New Roman"/>
                <w:b/>
                <w:bCs/>
                <w:sz w:val="24"/>
                <w:szCs w:val="24"/>
              </w:rPr>
              <w:t>Grant Management, Business Process Design, IT Solutions</w:t>
            </w:r>
          </w:p>
          <w:p w14:paraId="07E844E8" w14:textId="77777777" w:rsidR="0079707E" w:rsidRPr="005C063E" w:rsidRDefault="0079707E" w:rsidP="000E74AA">
            <w:pPr>
              <w:contextualSpacing/>
              <w:rPr>
                <w:rFonts w:ascii="Times New Roman" w:hAnsi="Times New Roman" w:cs="Times New Roman"/>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bCs/>
                <w:sz w:val="24"/>
                <w:szCs w:val="24"/>
              </w:rPr>
              <w:t>June 2017 – June 2018</w:t>
            </w:r>
          </w:p>
          <w:p w14:paraId="74A83891" w14:textId="77777777" w:rsidR="0079707E" w:rsidRPr="005C063E" w:rsidRDefault="0079707E" w:rsidP="000E74AA">
            <w:pPr>
              <w:contextualSpacing/>
              <w:rPr>
                <w:rFonts w:ascii="Times New Roman" w:eastAsia="Arial" w:hAnsi="Times New Roman" w:cs="Times New Roman"/>
                <w:sz w:val="24"/>
                <w:szCs w:val="24"/>
              </w:rPr>
            </w:pPr>
            <w:r w:rsidRPr="005C063E">
              <w:rPr>
                <w:rFonts w:ascii="Times New Roman" w:eastAsia="Arial" w:hAnsi="Times New Roman" w:cs="Times New Roman"/>
                <w:b/>
                <w:bCs/>
                <w:color w:val="00A0CA"/>
                <w:sz w:val="24"/>
                <w:szCs w:val="24"/>
              </w:rPr>
              <w:t xml:space="preserve">Scope of Activities: </w:t>
            </w:r>
            <w:r w:rsidRPr="005C063E">
              <w:rPr>
                <w:rFonts w:ascii="Times New Roman" w:eastAsia="Arial" w:hAnsi="Times New Roman" w:cs="Times New Roman"/>
                <w:sz w:val="24"/>
                <w:szCs w:val="24"/>
              </w:rPr>
              <w:t xml:space="preserve">EOLWD and PCG worked to address historical grant management challenges, </w:t>
            </w:r>
            <w:r w:rsidRPr="005C063E">
              <w:rPr>
                <w:rFonts w:ascii="Times New Roman" w:eastAsia="Arial" w:hAnsi="Times New Roman" w:cs="Times New Roman"/>
                <w:b/>
                <w:sz w:val="24"/>
                <w:szCs w:val="24"/>
              </w:rPr>
              <w:t>improve and formalize its grants management processes</w:t>
            </w:r>
            <w:r w:rsidRPr="005C063E">
              <w:rPr>
                <w:rFonts w:ascii="Times New Roman" w:eastAsia="Arial" w:hAnsi="Times New Roman" w:cs="Times New Roman"/>
                <w:sz w:val="24"/>
                <w:szCs w:val="24"/>
              </w:rPr>
              <w:t>, and implement new IT solutions to reduce the manual effort required to manage its $235 million (annual) workforce development grant portfolio. We assisted with the development of a financial reconciliation and provided recommendations for 17 appropriations, including 413 programs; provided a Federal Grant Management Playbook, containing the general grant management rules for various spending areas; and continue to lead and support the Department in documenting and improving current business processes in 10 functional areas.</w:t>
            </w:r>
          </w:p>
          <w:p w14:paraId="748F0D08" w14:textId="77777777" w:rsidR="0079707E" w:rsidRPr="005C063E" w:rsidRDefault="0079707E" w:rsidP="000E74AA">
            <w:pPr>
              <w:pStyle w:val="NoSpacing"/>
              <w:contextualSpacing/>
              <w:rPr>
                <w:rFonts w:ascii="Times New Roman" w:eastAsia="Arial" w:hAnsi="Times New Roman"/>
                <w:color w:val="000000"/>
                <w:sz w:val="24"/>
                <w:szCs w:val="24"/>
              </w:rPr>
            </w:pPr>
          </w:p>
          <w:p w14:paraId="2EF3DD93" w14:textId="77777777" w:rsidR="0079707E" w:rsidRPr="005C063E" w:rsidRDefault="0079707E" w:rsidP="000E74AA">
            <w:pPr>
              <w:pStyle w:val="NoSpacing"/>
              <w:contextualSpacing/>
              <w:rPr>
                <w:rFonts w:ascii="Times New Roman" w:eastAsia="Arial" w:hAnsi="Times New Roman"/>
                <w:b/>
                <w:color w:val="000000"/>
                <w:sz w:val="24"/>
                <w:szCs w:val="24"/>
                <w:u w:val="single"/>
              </w:rPr>
            </w:pPr>
            <w:r w:rsidRPr="005C063E">
              <w:rPr>
                <w:rFonts w:ascii="Times New Roman" w:eastAsia="Arial" w:hAnsi="Times New Roman"/>
                <w:b/>
                <w:color w:val="000000"/>
                <w:sz w:val="24"/>
                <w:szCs w:val="24"/>
                <w:u w:val="single"/>
              </w:rPr>
              <w:t>Strategic Planning Experience:</w:t>
            </w:r>
          </w:p>
          <w:p w14:paraId="5C881902" w14:textId="77777777" w:rsidR="0079707E" w:rsidRPr="005C063E" w:rsidRDefault="0079707E" w:rsidP="000E74AA">
            <w:pPr>
              <w:pStyle w:val="NoSpacing"/>
              <w:contextualSpacing/>
              <w:rPr>
                <w:rFonts w:ascii="Times New Roman" w:eastAsia="Arial" w:hAnsi="Times New Roman"/>
                <w:b/>
                <w:bCs/>
                <w:color w:val="000000"/>
                <w:sz w:val="24"/>
                <w:szCs w:val="24"/>
              </w:rPr>
            </w:pPr>
          </w:p>
          <w:p w14:paraId="6C343BF0"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North Carolina Department of Health and Human Services</w:t>
            </w:r>
          </w:p>
          <w:p w14:paraId="2AEC5AB4"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Project: </w:t>
            </w:r>
            <w:r w:rsidRPr="005C063E">
              <w:rPr>
                <w:rFonts w:ascii="Times New Roman" w:eastAsia="Arial" w:hAnsi="Times New Roman" w:cs="Times New Roman"/>
                <w:b/>
                <w:bCs/>
                <w:sz w:val="24"/>
                <w:szCs w:val="24"/>
              </w:rPr>
              <w:t>Work Support Strategies Strategic Planning and Implementation</w:t>
            </w:r>
          </w:p>
          <w:p w14:paraId="48607040"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Expertise: </w:t>
            </w:r>
            <w:r w:rsidRPr="005C063E">
              <w:rPr>
                <w:rFonts w:ascii="Times New Roman" w:eastAsia="Arial" w:hAnsi="Times New Roman" w:cs="Times New Roman"/>
                <w:b/>
                <w:bCs/>
                <w:sz w:val="24"/>
                <w:szCs w:val="24"/>
              </w:rPr>
              <w:t>Strategic Planning, Business Process Re-engineering</w:t>
            </w:r>
          </w:p>
          <w:p w14:paraId="36BF1E51"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bCs/>
                <w:sz w:val="24"/>
                <w:szCs w:val="24"/>
              </w:rPr>
              <w:t>2011 – 2016</w:t>
            </w:r>
          </w:p>
          <w:p w14:paraId="5CFAE5D0" w14:textId="77777777" w:rsidR="0079707E" w:rsidRPr="005C063E" w:rsidRDefault="0079707E" w:rsidP="000E74AA">
            <w:pPr>
              <w:pStyle w:val="NoSpacing"/>
              <w:contextualSpacing/>
              <w:rPr>
                <w:rFonts w:ascii="Times New Roman" w:hAnsi="Times New Roman"/>
                <w:color w:val="auto"/>
                <w:sz w:val="24"/>
                <w:szCs w:val="24"/>
              </w:rPr>
            </w:pPr>
            <w:r w:rsidRPr="005C063E">
              <w:rPr>
                <w:rFonts w:ascii="Times New Roman" w:eastAsia="Arial" w:hAnsi="Times New Roman"/>
                <w:b/>
                <w:bCs/>
                <w:color w:val="00A0CA"/>
                <w:sz w:val="24"/>
                <w:szCs w:val="24"/>
              </w:rPr>
              <w:t xml:space="preserve">Scope of Activities: </w:t>
            </w:r>
            <w:r w:rsidRPr="005C063E">
              <w:rPr>
                <w:rFonts w:ascii="Times New Roman" w:hAnsi="Times New Roman"/>
                <w:color w:val="auto"/>
                <w:sz w:val="24"/>
                <w:szCs w:val="24"/>
              </w:rPr>
              <w:t xml:space="preserve">PCG helped North Carolina design, test, and implement a more effective, integrated, and customer-centric approach in order to deliver benefits that support low-income individuals and families. PCG’s expertise in </w:t>
            </w:r>
            <w:r w:rsidRPr="005C063E">
              <w:rPr>
                <w:rFonts w:ascii="Times New Roman" w:hAnsi="Times New Roman"/>
                <w:b/>
                <w:color w:val="auto"/>
                <w:sz w:val="24"/>
                <w:szCs w:val="24"/>
              </w:rPr>
              <w:t>business process re-engineering</w:t>
            </w:r>
            <w:r w:rsidRPr="005C063E">
              <w:rPr>
                <w:rFonts w:ascii="Times New Roman" w:hAnsi="Times New Roman"/>
                <w:color w:val="auto"/>
                <w:sz w:val="24"/>
                <w:szCs w:val="24"/>
              </w:rPr>
              <w:t xml:space="preserve"> helped North Carolina eliminate duplicative or redundant steps in application and recertification processes; improve coordination amongst human service benefit programs; support the integration and automation among program-based systems; and eliminate the silo approach to benefit delivery. PCG’s expertise in change management helped North Carolina develop a multi-year implementation plan with extensive staff and stakeholder input and helped the state monitor and continuously improve the plan year-over-year. PCG also performed project management and assisted with technology integration during the planning year. PCG performed the day to day project management, change management, and implementation activities during the second phase of this project, and led County and stakeholder relations.</w:t>
            </w:r>
          </w:p>
          <w:p w14:paraId="204F34FB" w14:textId="77777777" w:rsidR="0079707E" w:rsidRPr="005C063E" w:rsidRDefault="0079707E" w:rsidP="000E74AA">
            <w:pPr>
              <w:pStyle w:val="NoSpacing"/>
              <w:contextualSpacing/>
              <w:rPr>
                <w:rFonts w:ascii="Times New Roman" w:hAnsi="Times New Roman"/>
                <w:color w:val="auto"/>
                <w:sz w:val="24"/>
                <w:szCs w:val="24"/>
              </w:rPr>
            </w:pPr>
          </w:p>
          <w:p w14:paraId="19B0418D"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County of Los Angeles Workforce Development Board &amp; Workforce Development, Aging, and Community Services Department</w:t>
            </w:r>
          </w:p>
          <w:p w14:paraId="19CF72D3"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Project: </w:t>
            </w:r>
            <w:r w:rsidRPr="005C063E">
              <w:rPr>
                <w:rFonts w:ascii="Times New Roman" w:eastAsia="Arial" w:hAnsi="Times New Roman" w:cs="Times New Roman"/>
                <w:b/>
                <w:bCs/>
                <w:sz w:val="24"/>
                <w:szCs w:val="24"/>
              </w:rPr>
              <w:t>WIA-WIOA Adult and Dislocated Worker Program Redesign, Strategic Planning, and Implementation</w:t>
            </w:r>
          </w:p>
          <w:p w14:paraId="4674CFC2"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Expertise: </w:t>
            </w:r>
            <w:r w:rsidRPr="005C063E">
              <w:rPr>
                <w:rFonts w:ascii="Times New Roman" w:eastAsia="Arial" w:hAnsi="Times New Roman" w:cs="Times New Roman"/>
                <w:b/>
                <w:bCs/>
                <w:sz w:val="24"/>
                <w:szCs w:val="24"/>
              </w:rPr>
              <w:t>Strategic Planning, Workforce Programs</w:t>
            </w:r>
          </w:p>
          <w:p w14:paraId="0A532DC8"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bCs/>
                <w:sz w:val="24"/>
                <w:szCs w:val="24"/>
              </w:rPr>
              <w:t>2013 – 2016</w:t>
            </w:r>
          </w:p>
          <w:p w14:paraId="340FFF24" w14:textId="77777777" w:rsidR="0079707E" w:rsidRPr="005C063E" w:rsidRDefault="0079707E" w:rsidP="000E74AA">
            <w:pPr>
              <w:pStyle w:val="NoSpacing"/>
              <w:contextualSpacing/>
              <w:rPr>
                <w:rFonts w:ascii="Times New Roman" w:hAnsi="Times New Roman"/>
                <w:color w:val="auto"/>
                <w:sz w:val="24"/>
                <w:szCs w:val="24"/>
              </w:rPr>
            </w:pPr>
            <w:r w:rsidRPr="005C063E">
              <w:rPr>
                <w:rFonts w:ascii="Times New Roman" w:eastAsia="Arial" w:hAnsi="Times New Roman"/>
                <w:b/>
                <w:bCs/>
                <w:color w:val="00A0CA"/>
                <w:sz w:val="24"/>
                <w:szCs w:val="24"/>
              </w:rPr>
              <w:t>Scope of Activities:</w:t>
            </w:r>
            <w:r w:rsidRPr="005C063E">
              <w:rPr>
                <w:rFonts w:ascii="Times New Roman" w:eastAsia="Arial" w:hAnsi="Times New Roman"/>
                <w:b/>
                <w:bCs/>
                <w:color w:val="auto"/>
                <w:sz w:val="24"/>
                <w:szCs w:val="24"/>
              </w:rPr>
              <w:t xml:space="preserve"> </w:t>
            </w:r>
            <w:r w:rsidRPr="005C063E">
              <w:rPr>
                <w:rFonts w:ascii="Times New Roman" w:hAnsi="Times New Roman"/>
                <w:color w:val="auto"/>
                <w:sz w:val="24"/>
                <w:szCs w:val="24"/>
              </w:rPr>
              <w:t xml:space="preserve">PCG engaged in </w:t>
            </w:r>
            <w:r w:rsidRPr="005C063E">
              <w:rPr>
                <w:rFonts w:ascii="Times New Roman" w:hAnsi="Times New Roman"/>
                <w:b/>
                <w:color w:val="auto"/>
                <w:sz w:val="24"/>
                <w:szCs w:val="24"/>
              </w:rPr>
              <w:t xml:space="preserve">multiple phases of a strategic planning project </w:t>
            </w:r>
            <w:r w:rsidRPr="005C063E">
              <w:rPr>
                <w:rFonts w:ascii="Times New Roman" w:hAnsi="Times New Roman"/>
                <w:color w:val="auto"/>
                <w:sz w:val="24"/>
                <w:szCs w:val="24"/>
              </w:rPr>
              <w:t xml:space="preserve">to support the redesign of WIA programs and the entire service delivery system under WIOA for Los Angeles County, one of the largest public workforce development systems in the country. Activities included the facilitation of executive management through a data-driven process to redesign the service delivery system, taking into account local demographics, labor market needs, key industry sectors, and budget limitations, as well as opportunities for further partnerships and </w:t>
            </w:r>
            <w:r w:rsidRPr="005C063E">
              <w:rPr>
                <w:rFonts w:ascii="Times New Roman" w:hAnsi="Times New Roman"/>
                <w:color w:val="auto"/>
                <w:sz w:val="24"/>
                <w:szCs w:val="24"/>
              </w:rPr>
              <w:lastRenderedPageBreak/>
              <w:t>alignment across the system. PCG provided data analysis and strategic recommendations on the footprint of LA County’s redesigned One-Stop system, as well as local nuances based of differing population and industry needs.</w:t>
            </w:r>
          </w:p>
          <w:p w14:paraId="64BBC55E" w14:textId="77777777" w:rsidR="0079707E" w:rsidRPr="005C063E" w:rsidRDefault="0079707E" w:rsidP="000E74AA">
            <w:pPr>
              <w:pStyle w:val="NoSpacing"/>
              <w:contextualSpacing/>
              <w:rPr>
                <w:rFonts w:ascii="Times New Roman" w:hAnsi="Times New Roman"/>
                <w:color w:val="auto"/>
                <w:sz w:val="24"/>
                <w:szCs w:val="24"/>
              </w:rPr>
            </w:pPr>
          </w:p>
          <w:p w14:paraId="128F9752"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Organization: </w:t>
            </w:r>
            <w:r w:rsidRPr="005C063E">
              <w:rPr>
                <w:rFonts w:ascii="Times New Roman" w:eastAsia="Arial" w:hAnsi="Times New Roman" w:cs="Times New Roman"/>
                <w:b/>
                <w:bCs/>
                <w:sz w:val="24"/>
                <w:szCs w:val="24"/>
              </w:rPr>
              <w:t>Worksource Montgomery, Montgomery County, Maryland</w:t>
            </w:r>
          </w:p>
          <w:p w14:paraId="29ACD50B"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Project: </w:t>
            </w:r>
            <w:r w:rsidRPr="005C063E">
              <w:rPr>
                <w:rFonts w:ascii="Times New Roman" w:eastAsia="Arial" w:hAnsi="Times New Roman" w:cs="Times New Roman"/>
                <w:b/>
                <w:bCs/>
                <w:sz w:val="24"/>
                <w:szCs w:val="24"/>
              </w:rPr>
              <w:t>Strategic and Business Planning Support</w:t>
            </w:r>
          </w:p>
          <w:p w14:paraId="6675DFEF"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Expertise: </w:t>
            </w:r>
            <w:r w:rsidRPr="005C063E">
              <w:rPr>
                <w:rFonts w:ascii="Times New Roman" w:eastAsia="Arial" w:hAnsi="Times New Roman" w:cs="Times New Roman"/>
                <w:b/>
                <w:bCs/>
                <w:sz w:val="24"/>
                <w:szCs w:val="24"/>
              </w:rPr>
              <w:t>Strategic Planning, Workforce Programs</w:t>
            </w:r>
          </w:p>
          <w:p w14:paraId="531CC4F7" w14:textId="77777777" w:rsidR="0079707E" w:rsidRPr="005C063E" w:rsidRDefault="0079707E" w:rsidP="000E74AA">
            <w:pPr>
              <w:contextualSpacing/>
              <w:rPr>
                <w:rFonts w:ascii="Times New Roman" w:eastAsia="Arial" w:hAnsi="Times New Roman" w:cs="Times New Roman"/>
                <w:b/>
                <w:bCs/>
                <w:color w:val="00A0CA"/>
                <w:sz w:val="24"/>
                <w:szCs w:val="24"/>
              </w:rPr>
            </w:pPr>
            <w:r w:rsidRPr="005C063E">
              <w:rPr>
                <w:rFonts w:ascii="Times New Roman" w:eastAsia="Arial" w:hAnsi="Times New Roman" w:cs="Times New Roman"/>
                <w:b/>
                <w:bCs/>
                <w:color w:val="00A0CA"/>
                <w:sz w:val="24"/>
                <w:szCs w:val="24"/>
              </w:rPr>
              <w:t xml:space="preserve">Timeframe: </w:t>
            </w:r>
            <w:r w:rsidRPr="005C063E">
              <w:rPr>
                <w:rFonts w:ascii="Times New Roman" w:eastAsia="Arial" w:hAnsi="Times New Roman" w:cs="Times New Roman"/>
                <w:b/>
                <w:bCs/>
                <w:sz w:val="24"/>
                <w:szCs w:val="24"/>
              </w:rPr>
              <w:t>2017</w:t>
            </w:r>
          </w:p>
          <w:p w14:paraId="2E8FE1D1" w14:textId="2B301AA4" w:rsidR="00730B92" w:rsidRDefault="0079707E" w:rsidP="000E74AA">
            <w:pPr>
              <w:pStyle w:val="NoSpacing"/>
              <w:contextualSpacing/>
              <w:rPr>
                <w:rFonts w:ascii="Garamond" w:hAnsi="Garamond"/>
                <w:bCs/>
                <w:iCs/>
                <w:sz w:val="24"/>
                <w:szCs w:val="24"/>
              </w:rPr>
            </w:pPr>
            <w:r w:rsidRPr="005C063E">
              <w:rPr>
                <w:rFonts w:ascii="Times New Roman" w:eastAsia="Arial" w:hAnsi="Times New Roman"/>
                <w:b/>
                <w:bCs/>
                <w:color w:val="00A0CA"/>
                <w:sz w:val="24"/>
                <w:szCs w:val="24"/>
              </w:rPr>
              <w:t>Scope of Activities:</w:t>
            </w:r>
            <w:r w:rsidRPr="005C063E">
              <w:rPr>
                <w:rFonts w:ascii="Times New Roman" w:eastAsia="Arial" w:hAnsi="Times New Roman"/>
                <w:b/>
                <w:bCs/>
                <w:color w:val="auto"/>
                <w:sz w:val="24"/>
                <w:szCs w:val="24"/>
              </w:rPr>
              <w:t xml:space="preserve"> </w:t>
            </w:r>
            <w:r w:rsidRPr="005C063E">
              <w:rPr>
                <w:rFonts w:ascii="Times New Roman" w:hAnsi="Times New Roman"/>
                <w:color w:val="auto"/>
                <w:sz w:val="24"/>
                <w:szCs w:val="24"/>
              </w:rPr>
              <w:t xml:space="preserve">PCG facilitated WorkSource Montgomery board members, staff, other stakeholders in </w:t>
            </w:r>
            <w:r w:rsidRPr="005C063E">
              <w:rPr>
                <w:rFonts w:ascii="Times New Roman" w:hAnsi="Times New Roman"/>
                <w:b/>
                <w:color w:val="auto"/>
                <w:sz w:val="24"/>
                <w:szCs w:val="24"/>
              </w:rPr>
              <w:t>identifying strategic priorities and major action areas</w:t>
            </w:r>
            <w:r w:rsidRPr="005C063E">
              <w:rPr>
                <w:rFonts w:ascii="Times New Roman" w:hAnsi="Times New Roman"/>
                <w:color w:val="auto"/>
                <w:sz w:val="24"/>
                <w:szCs w:val="24"/>
              </w:rPr>
              <w:t xml:space="preserve"> for both impacting the community and building needed organizational capacity. The organization was in a period of major change, with new leadership, a new public-private structure, and an expanded mandate encompassing an array of economic development and employment responsibilities in addition to its core WIOA purview. In response to these changes, Worksource Montgomery sought to review its strategy and ensure that it put in place the necessary structure, management tools, and planning documents to put its Local Workforce Plan into action through aligned decision-making, capacity building, and day-to-day operations. To this end, PCG facilitated a joint executive committee of two boards with key responsibilities in overseeing Worksource Montgomery’s work in planning a larger working session and drafting vision, values, and priorities statements. PCG then facilitated 50 participants in a one-day strategic working session to conduct three-year business planning for community impact and organizational capacity building.</w:t>
            </w:r>
          </w:p>
        </w:tc>
      </w:tr>
      <w:bookmarkEnd w:id="1"/>
    </w:tbl>
    <w:p w14:paraId="1E9755C5" w14:textId="77777777" w:rsidR="00194DD8" w:rsidRPr="00194DD8" w:rsidRDefault="00194DD8" w:rsidP="00194DD8">
      <w:pPr>
        <w:spacing w:after="0"/>
        <w:ind w:left="1080"/>
        <w:rPr>
          <w:rFonts w:ascii="Garamond" w:hAnsi="Garamond"/>
          <w:bCs/>
          <w:iCs/>
          <w:sz w:val="24"/>
          <w:szCs w:val="24"/>
        </w:rPr>
      </w:pPr>
    </w:p>
    <w:p w14:paraId="0EBBBF48" w14:textId="40617E7B" w:rsidR="00194DD8" w:rsidRDefault="00194DD8" w:rsidP="00E038C3">
      <w:pPr>
        <w:numPr>
          <w:ilvl w:val="0"/>
          <w:numId w:val="2"/>
        </w:numPr>
        <w:spacing w:after="0"/>
        <w:rPr>
          <w:rFonts w:ascii="Garamond" w:hAnsi="Garamond"/>
          <w:bCs/>
          <w:iCs/>
          <w:sz w:val="24"/>
          <w:szCs w:val="24"/>
        </w:rPr>
      </w:pPr>
      <w:r w:rsidRPr="00194DD8">
        <w:rPr>
          <w:rFonts w:ascii="Garamond" w:hAnsi="Garamond"/>
          <w:bCs/>
          <w:iCs/>
          <w:sz w:val="24"/>
          <w:szCs w:val="24"/>
        </w:rPr>
        <w:t>Please identify at least three (3) specific projects or contracts where the proposer has performed some or all of the services outlined in the scope of work</w:t>
      </w:r>
      <w:r w:rsidR="002A2841">
        <w:rPr>
          <w:rFonts w:ascii="Garamond" w:hAnsi="Garamond"/>
          <w:bCs/>
          <w:iCs/>
          <w:sz w:val="24"/>
          <w:szCs w:val="24"/>
        </w:rPr>
        <w:t xml:space="preserve"> of this RFP.</w:t>
      </w:r>
    </w:p>
    <w:tbl>
      <w:tblPr>
        <w:tblStyle w:val="TableGrid"/>
        <w:tblW w:w="0" w:type="auto"/>
        <w:tblInd w:w="1080" w:type="dxa"/>
        <w:tblLook w:val="04A0" w:firstRow="1" w:lastRow="0" w:firstColumn="1" w:lastColumn="0" w:noHBand="0" w:noVBand="1"/>
      </w:tblPr>
      <w:tblGrid>
        <w:gridCol w:w="9710"/>
      </w:tblGrid>
      <w:tr w:rsidR="00194DD8" w14:paraId="5A4887D3" w14:textId="77777777" w:rsidTr="008C4D96">
        <w:tc>
          <w:tcPr>
            <w:tcW w:w="10790" w:type="dxa"/>
            <w:shd w:val="clear" w:color="auto" w:fill="FFFF99"/>
          </w:tcPr>
          <w:p w14:paraId="2FA3AE63" w14:textId="77777777" w:rsidR="001C480E" w:rsidRPr="00966060" w:rsidRDefault="001C480E" w:rsidP="00966060">
            <w:pPr>
              <w:spacing w:line="276" w:lineRule="auto"/>
              <w:contextualSpacing/>
              <w:rPr>
                <w:rFonts w:ascii="Times New Roman" w:hAnsi="Times New Roman" w:cs="Times New Roman"/>
                <w:bCs/>
                <w:iCs/>
                <w:sz w:val="24"/>
                <w:szCs w:val="24"/>
              </w:rPr>
            </w:pPr>
            <w:r w:rsidRPr="00966060">
              <w:rPr>
                <w:rFonts w:ascii="Times New Roman" w:hAnsi="Times New Roman" w:cs="Times New Roman"/>
                <w:bCs/>
                <w:iCs/>
                <w:sz w:val="24"/>
                <w:szCs w:val="24"/>
              </w:rPr>
              <w:t>While all of the projects cited above in Question 1 showcase PCG’s experience and expertise in the areas of compliance and monitoring, the following projects highlight areas where we have provided services relevant to the scope of work in this RFP:</w:t>
            </w:r>
          </w:p>
          <w:p w14:paraId="3565DC5D" w14:textId="77777777" w:rsidR="001C480E" w:rsidRPr="00966060" w:rsidRDefault="001C480E" w:rsidP="00966060">
            <w:pPr>
              <w:spacing w:line="276" w:lineRule="auto"/>
              <w:contextualSpacing/>
              <w:rPr>
                <w:rFonts w:ascii="Times New Roman" w:hAnsi="Times New Roman" w:cs="Times New Roman"/>
                <w:bCs/>
                <w:iCs/>
                <w:sz w:val="24"/>
                <w:szCs w:val="24"/>
              </w:rPr>
            </w:pPr>
            <w:r w:rsidRPr="00966060">
              <w:rPr>
                <w:rFonts w:ascii="Times New Roman" w:hAnsi="Times New Roman" w:cs="Times New Roman"/>
                <w:bCs/>
                <w:iCs/>
                <w:sz w:val="24"/>
                <w:szCs w:val="24"/>
              </w:rPr>
              <w:t xml:space="preserve"> </w:t>
            </w:r>
          </w:p>
          <w:p w14:paraId="1FC3B1CE" w14:textId="77777777" w:rsidR="001C480E" w:rsidRPr="00966060" w:rsidRDefault="001C480E" w:rsidP="00E038C3">
            <w:pPr>
              <w:pStyle w:val="ListParagraph"/>
              <w:numPr>
                <w:ilvl w:val="0"/>
                <w:numId w:val="11"/>
              </w:numPr>
              <w:spacing w:line="259" w:lineRule="auto"/>
              <w:rPr>
                <w:rFonts w:ascii="Times New Roman" w:eastAsia="Arial" w:hAnsi="Times New Roman"/>
                <w:b/>
                <w:bCs/>
                <w:color w:val="00A0CA"/>
                <w:sz w:val="24"/>
                <w:szCs w:val="24"/>
              </w:rPr>
            </w:pPr>
            <w:r w:rsidRPr="00966060">
              <w:rPr>
                <w:rFonts w:ascii="Times New Roman" w:eastAsia="Arial" w:hAnsi="Times New Roman"/>
                <w:b/>
                <w:bCs/>
                <w:color w:val="00A0CA"/>
                <w:sz w:val="24"/>
                <w:szCs w:val="24"/>
              </w:rPr>
              <w:t xml:space="preserve">Organization: </w:t>
            </w:r>
            <w:r w:rsidRPr="00966060">
              <w:rPr>
                <w:rFonts w:ascii="Times New Roman" w:eastAsia="Arial" w:hAnsi="Times New Roman"/>
                <w:b/>
                <w:bCs/>
                <w:sz w:val="24"/>
                <w:szCs w:val="24"/>
              </w:rPr>
              <w:t>Workforce Solutions Capital Area, Austin, Texas</w:t>
            </w:r>
          </w:p>
          <w:p w14:paraId="3188F365" w14:textId="77777777" w:rsidR="001C480E" w:rsidRPr="00966060" w:rsidRDefault="001C480E" w:rsidP="00966060">
            <w:pPr>
              <w:ind w:firstLine="720"/>
              <w:contextualSpacing/>
              <w:rPr>
                <w:rFonts w:ascii="Times New Roman" w:eastAsia="Arial" w:hAnsi="Times New Roman" w:cs="Times New Roman"/>
                <w:b/>
                <w:bCs/>
                <w:sz w:val="24"/>
                <w:szCs w:val="24"/>
              </w:rPr>
            </w:pPr>
            <w:r w:rsidRPr="00966060">
              <w:rPr>
                <w:rFonts w:ascii="Times New Roman" w:eastAsia="Arial" w:hAnsi="Times New Roman" w:cs="Times New Roman"/>
                <w:b/>
                <w:bCs/>
                <w:color w:val="00A0CA"/>
                <w:sz w:val="24"/>
                <w:szCs w:val="24"/>
              </w:rPr>
              <w:t xml:space="preserve">Project: </w:t>
            </w:r>
            <w:r w:rsidRPr="00966060">
              <w:rPr>
                <w:rFonts w:ascii="Times New Roman" w:eastAsia="Arial" w:hAnsi="Times New Roman" w:cs="Times New Roman"/>
                <w:b/>
                <w:bCs/>
                <w:sz w:val="24"/>
                <w:szCs w:val="24"/>
              </w:rPr>
              <w:t>Workforce Program Monitoring</w:t>
            </w:r>
          </w:p>
          <w:p w14:paraId="6DEE2F13" w14:textId="77777777" w:rsidR="001C480E" w:rsidRPr="00966060" w:rsidRDefault="001C480E" w:rsidP="00966060">
            <w:pPr>
              <w:ind w:firstLine="720"/>
              <w:contextualSpacing/>
              <w:rPr>
                <w:rFonts w:ascii="Times New Roman" w:eastAsia="Arial" w:hAnsi="Times New Roman" w:cs="Times New Roman"/>
                <w:b/>
                <w:sz w:val="24"/>
                <w:szCs w:val="24"/>
              </w:rPr>
            </w:pPr>
          </w:p>
          <w:p w14:paraId="6590CD62" w14:textId="77777777" w:rsidR="001C480E" w:rsidRPr="00966060" w:rsidRDefault="001C480E" w:rsidP="00E038C3">
            <w:pPr>
              <w:pStyle w:val="ListParagraph"/>
              <w:numPr>
                <w:ilvl w:val="0"/>
                <w:numId w:val="11"/>
              </w:numPr>
              <w:spacing w:line="259" w:lineRule="auto"/>
              <w:rPr>
                <w:rFonts w:ascii="Times New Roman" w:eastAsia="Arial" w:hAnsi="Times New Roman"/>
                <w:b/>
                <w:sz w:val="24"/>
                <w:szCs w:val="24"/>
              </w:rPr>
            </w:pPr>
            <w:r w:rsidRPr="00966060">
              <w:rPr>
                <w:rFonts w:ascii="Times New Roman" w:eastAsia="Arial" w:hAnsi="Times New Roman"/>
                <w:b/>
                <w:bCs/>
                <w:color w:val="00A0CA"/>
                <w:sz w:val="24"/>
                <w:szCs w:val="24"/>
              </w:rPr>
              <w:t>Organization:</w:t>
            </w:r>
            <w:r w:rsidRPr="00966060">
              <w:rPr>
                <w:rFonts w:ascii="Times New Roman" w:eastAsia="Arial" w:hAnsi="Times New Roman"/>
                <w:b/>
                <w:bCs/>
                <w:sz w:val="24"/>
                <w:szCs w:val="24"/>
              </w:rPr>
              <w:t xml:space="preserve"> Missouri, Department of Social Services</w:t>
            </w:r>
          </w:p>
          <w:p w14:paraId="7F240E93" w14:textId="77777777" w:rsidR="001C480E" w:rsidRPr="00966060" w:rsidRDefault="001C480E" w:rsidP="00966060">
            <w:pPr>
              <w:pStyle w:val="ListParagraph"/>
              <w:jc w:val="both"/>
              <w:rPr>
                <w:rFonts w:ascii="Times New Roman" w:eastAsia="Arial" w:hAnsi="Times New Roman"/>
                <w:b/>
                <w:bCs/>
                <w:sz w:val="24"/>
                <w:szCs w:val="24"/>
              </w:rPr>
            </w:pPr>
            <w:r w:rsidRPr="00966060">
              <w:rPr>
                <w:rFonts w:ascii="Times New Roman" w:eastAsia="Arial" w:hAnsi="Times New Roman"/>
                <w:b/>
                <w:bCs/>
                <w:color w:val="00A0CA"/>
                <w:sz w:val="24"/>
                <w:szCs w:val="24"/>
              </w:rPr>
              <w:t>Project:</w:t>
            </w:r>
            <w:r w:rsidRPr="00966060">
              <w:rPr>
                <w:rFonts w:ascii="Times New Roman" w:eastAsia="Arial" w:hAnsi="Times New Roman"/>
                <w:i/>
                <w:iCs/>
                <w:sz w:val="24"/>
                <w:szCs w:val="24"/>
              </w:rPr>
              <w:t xml:space="preserve"> </w:t>
            </w:r>
            <w:r w:rsidRPr="00966060">
              <w:rPr>
                <w:rFonts w:ascii="Times New Roman" w:eastAsia="Arial" w:hAnsi="Times New Roman"/>
                <w:b/>
                <w:bCs/>
                <w:sz w:val="24"/>
                <w:szCs w:val="24"/>
              </w:rPr>
              <w:t>DFAS Employment and Training Programs (TANF, SNAP E&amp;T, Summer Jobs) Financial Monitoring and Compliance Review Services</w:t>
            </w:r>
          </w:p>
          <w:p w14:paraId="255025C6" w14:textId="77777777" w:rsidR="001C480E" w:rsidRPr="00966060" w:rsidRDefault="001C480E" w:rsidP="00966060">
            <w:pPr>
              <w:pStyle w:val="ListParagraph"/>
              <w:jc w:val="both"/>
              <w:rPr>
                <w:rFonts w:ascii="Times New Roman" w:hAnsi="Times New Roman"/>
                <w:sz w:val="24"/>
                <w:szCs w:val="24"/>
              </w:rPr>
            </w:pPr>
          </w:p>
          <w:p w14:paraId="0EC5E6E3" w14:textId="77777777" w:rsidR="001C480E" w:rsidRPr="00966060" w:rsidRDefault="001C480E" w:rsidP="00E038C3">
            <w:pPr>
              <w:pStyle w:val="ListParagraph"/>
              <w:numPr>
                <w:ilvl w:val="0"/>
                <w:numId w:val="11"/>
              </w:numPr>
              <w:spacing w:line="259" w:lineRule="auto"/>
              <w:rPr>
                <w:rFonts w:ascii="Times New Roman" w:eastAsia="Arial" w:hAnsi="Times New Roman"/>
                <w:b/>
                <w:color w:val="00A0CA"/>
                <w:sz w:val="24"/>
                <w:szCs w:val="24"/>
              </w:rPr>
            </w:pPr>
            <w:r w:rsidRPr="00966060">
              <w:rPr>
                <w:rFonts w:ascii="Times New Roman" w:eastAsia="Arial" w:hAnsi="Times New Roman"/>
                <w:b/>
                <w:color w:val="00A0CA"/>
                <w:sz w:val="24"/>
                <w:szCs w:val="24"/>
              </w:rPr>
              <w:t xml:space="preserve">Organization: </w:t>
            </w:r>
            <w:r w:rsidRPr="00966060">
              <w:rPr>
                <w:rFonts w:ascii="Times New Roman" w:eastAsia="Arial" w:hAnsi="Times New Roman"/>
                <w:b/>
                <w:sz w:val="24"/>
                <w:szCs w:val="24"/>
              </w:rPr>
              <w:t>South Dakota, Department of Public Safety</w:t>
            </w:r>
          </w:p>
          <w:p w14:paraId="593750A7" w14:textId="77777777" w:rsidR="001C480E" w:rsidRPr="00966060" w:rsidRDefault="001C480E" w:rsidP="00966060">
            <w:pPr>
              <w:pStyle w:val="ListParagraph"/>
              <w:rPr>
                <w:rFonts w:ascii="Times New Roman" w:eastAsia="Arial" w:hAnsi="Times New Roman"/>
                <w:b/>
                <w:color w:val="00A0CA"/>
                <w:sz w:val="24"/>
                <w:szCs w:val="24"/>
              </w:rPr>
            </w:pPr>
            <w:r w:rsidRPr="00966060">
              <w:rPr>
                <w:rFonts w:ascii="Times New Roman" w:eastAsia="Arial" w:hAnsi="Times New Roman"/>
                <w:b/>
                <w:color w:val="00A0CA"/>
                <w:sz w:val="24"/>
                <w:szCs w:val="24"/>
              </w:rPr>
              <w:t xml:space="preserve">Project: </w:t>
            </w:r>
            <w:r w:rsidRPr="00966060">
              <w:rPr>
                <w:rFonts w:ascii="Times New Roman" w:eastAsia="Arial" w:hAnsi="Times New Roman"/>
                <w:b/>
                <w:sz w:val="24"/>
                <w:szCs w:val="24"/>
              </w:rPr>
              <w:t>Victims’ Services Monitoring</w:t>
            </w:r>
          </w:p>
          <w:p w14:paraId="3A1E0DBB" w14:textId="77777777" w:rsidR="001C480E" w:rsidRPr="00966060" w:rsidRDefault="001C480E" w:rsidP="00966060">
            <w:pPr>
              <w:contextualSpacing/>
              <w:rPr>
                <w:rFonts w:ascii="Times New Roman" w:hAnsi="Times New Roman" w:cs="Times New Roman"/>
                <w:bCs/>
                <w:iCs/>
                <w:sz w:val="24"/>
                <w:szCs w:val="24"/>
              </w:rPr>
            </w:pPr>
          </w:p>
          <w:p w14:paraId="4EA991BB" w14:textId="58D100C8" w:rsidR="00730B92" w:rsidRPr="003A0692" w:rsidRDefault="001C480E" w:rsidP="008C4D96">
            <w:pPr>
              <w:contextualSpacing/>
              <w:rPr>
                <w:rFonts w:ascii="Times New Roman" w:hAnsi="Times New Roman" w:cs="Times New Roman"/>
                <w:sz w:val="24"/>
                <w:szCs w:val="24"/>
              </w:rPr>
            </w:pPr>
            <w:r w:rsidRPr="00966060">
              <w:rPr>
                <w:rFonts w:ascii="Times New Roman" w:hAnsi="Times New Roman" w:cs="Times New Roman"/>
                <w:sz w:val="24"/>
                <w:szCs w:val="24"/>
              </w:rPr>
              <w:t>Please see the response to Question 1 for detail on the three highlighted projects.</w:t>
            </w:r>
          </w:p>
        </w:tc>
      </w:tr>
    </w:tbl>
    <w:p w14:paraId="077EADEC" w14:textId="77777777" w:rsidR="00194DD8" w:rsidRPr="00194DD8" w:rsidRDefault="00194DD8" w:rsidP="00194DD8">
      <w:pPr>
        <w:spacing w:after="0"/>
        <w:rPr>
          <w:rFonts w:ascii="Garamond" w:hAnsi="Garamond"/>
          <w:bCs/>
          <w:iCs/>
          <w:sz w:val="24"/>
          <w:szCs w:val="24"/>
        </w:rPr>
      </w:pPr>
    </w:p>
    <w:p w14:paraId="53A5DD69" w14:textId="77777777" w:rsidR="00194DD8" w:rsidRPr="00194DD8" w:rsidRDefault="00194DD8" w:rsidP="00E038C3">
      <w:pPr>
        <w:numPr>
          <w:ilvl w:val="0"/>
          <w:numId w:val="2"/>
        </w:numPr>
        <w:spacing w:after="0"/>
        <w:rPr>
          <w:rFonts w:ascii="Garamond" w:hAnsi="Garamond"/>
          <w:bCs/>
          <w:iCs/>
          <w:sz w:val="24"/>
          <w:szCs w:val="24"/>
        </w:rPr>
      </w:pPr>
      <w:r w:rsidRPr="00194DD8">
        <w:rPr>
          <w:rFonts w:ascii="Garamond" w:hAnsi="Garamond"/>
          <w:bCs/>
          <w:iCs/>
          <w:sz w:val="24"/>
          <w:szCs w:val="24"/>
        </w:rPr>
        <w:t xml:space="preserve">Describe your organization’s staffing structure, including a description of experience and resumes for those individuals that will play a role in providing the requested services. </w:t>
      </w:r>
    </w:p>
    <w:tbl>
      <w:tblPr>
        <w:tblStyle w:val="TableGrid"/>
        <w:tblW w:w="0" w:type="auto"/>
        <w:tblInd w:w="1080" w:type="dxa"/>
        <w:tblLook w:val="04A0" w:firstRow="1" w:lastRow="0" w:firstColumn="1" w:lastColumn="0" w:noHBand="0" w:noVBand="1"/>
      </w:tblPr>
      <w:tblGrid>
        <w:gridCol w:w="9710"/>
      </w:tblGrid>
      <w:tr w:rsidR="00194DD8" w14:paraId="68C82C88" w14:textId="77777777" w:rsidTr="2A3AEC91">
        <w:tc>
          <w:tcPr>
            <w:tcW w:w="10790" w:type="dxa"/>
            <w:shd w:val="clear" w:color="auto" w:fill="FFFF99"/>
          </w:tcPr>
          <w:p w14:paraId="15DD2976" w14:textId="77777777" w:rsidR="0003316D" w:rsidRPr="003A0692" w:rsidRDefault="0003316D" w:rsidP="0003316D">
            <w:pPr>
              <w:rPr>
                <w:rFonts w:ascii="Times New Roman" w:hAnsi="Times New Roman" w:cs="Times New Roman"/>
                <w:bCs/>
                <w:iCs/>
                <w:sz w:val="24"/>
                <w:szCs w:val="24"/>
              </w:rPr>
            </w:pPr>
            <w:r w:rsidRPr="003A0692">
              <w:rPr>
                <w:rFonts w:ascii="Times New Roman" w:hAnsi="Times New Roman" w:cs="Times New Roman"/>
                <w:bCs/>
                <w:iCs/>
                <w:sz w:val="24"/>
                <w:szCs w:val="24"/>
              </w:rPr>
              <w:t xml:space="preserve">PCG’s Human Services staff are organized by subject matter expertise and experience. Managers oversee portfolios of project work and the staff who work on those projects. </w:t>
            </w:r>
          </w:p>
          <w:p w14:paraId="608C5FC5" w14:textId="77777777" w:rsidR="0003316D" w:rsidRPr="003A0692" w:rsidRDefault="0003316D" w:rsidP="0003316D">
            <w:pPr>
              <w:rPr>
                <w:rFonts w:ascii="Times New Roman" w:hAnsi="Times New Roman" w:cs="Times New Roman"/>
                <w:bCs/>
                <w:iCs/>
                <w:sz w:val="24"/>
                <w:szCs w:val="24"/>
              </w:rPr>
            </w:pPr>
          </w:p>
          <w:p w14:paraId="0442E27C" w14:textId="77777777" w:rsidR="0003316D" w:rsidRPr="003A0692" w:rsidRDefault="0003316D" w:rsidP="0003316D">
            <w:pPr>
              <w:rPr>
                <w:rFonts w:ascii="Times New Roman" w:hAnsi="Times New Roman" w:cs="Times New Roman"/>
                <w:bCs/>
                <w:iCs/>
                <w:sz w:val="24"/>
                <w:szCs w:val="24"/>
              </w:rPr>
            </w:pPr>
            <w:r w:rsidRPr="003A0692">
              <w:rPr>
                <w:rFonts w:ascii="Times New Roman" w:hAnsi="Times New Roman" w:cs="Times New Roman"/>
                <w:bCs/>
                <w:iCs/>
                <w:sz w:val="24"/>
                <w:szCs w:val="24"/>
              </w:rPr>
              <w:t xml:space="preserve">The PCG project team will be composed of seven team members who have experience in workforce development, program and fiscal monitoring and compliance, strategic planning, development of policies and procedures, and project management. The project will be overseen by </w:t>
            </w:r>
            <w:r w:rsidRPr="003A0692">
              <w:rPr>
                <w:rFonts w:ascii="Times New Roman" w:hAnsi="Times New Roman" w:cs="Times New Roman"/>
                <w:bCs/>
                <w:iCs/>
                <w:sz w:val="24"/>
                <w:szCs w:val="24"/>
              </w:rPr>
              <w:lastRenderedPageBreak/>
              <w:t>an Engagement Manager, led by a Project Manager, and staffed with subject matter experts and analysts to carry out the work.</w:t>
            </w:r>
          </w:p>
          <w:p w14:paraId="14F76154" w14:textId="77777777" w:rsidR="0003316D" w:rsidRPr="003A0692" w:rsidRDefault="0003316D" w:rsidP="0003316D">
            <w:pPr>
              <w:rPr>
                <w:rFonts w:ascii="Times New Roman" w:hAnsi="Times New Roman" w:cs="Times New Roman"/>
                <w:bCs/>
                <w:iCs/>
                <w:sz w:val="24"/>
                <w:szCs w:val="24"/>
              </w:rPr>
            </w:pPr>
          </w:p>
          <w:p w14:paraId="715D826B" w14:textId="3313B42D" w:rsidR="0003316D" w:rsidRPr="003A0692" w:rsidRDefault="0003316D" w:rsidP="0003316D">
            <w:pPr>
              <w:rPr>
                <w:rFonts w:ascii="Times New Roman" w:hAnsi="Times New Roman" w:cs="Times New Roman"/>
                <w:bCs/>
                <w:iCs/>
                <w:sz w:val="24"/>
                <w:szCs w:val="24"/>
              </w:rPr>
            </w:pPr>
            <w:r w:rsidRPr="003A0692">
              <w:rPr>
                <w:rFonts w:ascii="Times New Roman" w:hAnsi="Times New Roman" w:cs="Times New Roman"/>
                <w:b/>
                <w:iCs/>
                <w:sz w:val="24"/>
                <w:szCs w:val="24"/>
              </w:rPr>
              <w:t>Deborah Joffe</w:t>
            </w:r>
            <w:r w:rsidRPr="003A0692">
              <w:rPr>
                <w:rFonts w:ascii="Times New Roman" w:hAnsi="Times New Roman" w:cs="Times New Roman"/>
                <w:bCs/>
                <w:iCs/>
                <w:sz w:val="24"/>
                <w:szCs w:val="24"/>
              </w:rPr>
              <w:t>, an Associate Manager with PCG,</w:t>
            </w:r>
            <w:r w:rsidRPr="003A0692">
              <w:rPr>
                <w:rFonts w:ascii="Times New Roman" w:hAnsi="Times New Roman" w:cs="Times New Roman"/>
                <w:b/>
                <w:iCs/>
                <w:sz w:val="24"/>
                <w:szCs w:val="24"/>
              </w:rPr>
              <w:t xml:space="preserve"> </w:t>
            </w:r>
            <w:r w:rsidRPr="003A0692">
              <w:rPr>
                <w:rFonts w:ascii="Times New Roman" w:hAnsi="Times New Roman" w:cs="Times New Roman"/>
                <w:bCs/>
                <w:iCs/>
                <w:sz w:val="24"/>
                <w:szCs w:val="24"/>
              </w:rPr>
              <w:t xml:space="preserve">will serve as the </w:t>
            </w:r>
            <w:r w:rsidRPr="003A0692">
              <w:rPr>
                <w:rFonts w:ascii="Times New Roman" w:hAnsi="Times New Roman" w:cs="Times New Roman"/>
                <w:b/>
                <w:iCs/>
                <w:sz w:val="24"/>
                <w:szCs w:val="24"/>
              </w:rPr>
              <w:t>Engagement Manager</w:t>
            </w:r>
            <w:r w:rsidRPr="003A0692">
              <w:rPr>
                <w:rFonts w:ascii="Times New Roman" w:hAnsi="Times New Roman" w:cs="Times New Roman"/>
                <w:bCs/>
                <w:iCs/>
                <w:sz w:val="24"/>
                <w:szCs w:val="24"/>
              </w:rPr>
              <w:t xml:space="preserve"> for this project, overseeing the contract management and overall success of the project. Deb has extensive experience providing policy analysis, business diagnosis, program design, expenditure analysis, and implementation assistance for projects in the TANF and childcare programs. She</w:t>
            </w:r>
            <w:r w:rsidRPr="003A0692" w:rsidDel="003B18AD">
              <w:rPr>
                <w:rFonts w:ascii="Times New Roman" w:hAnsi="Times New Roman" w:cs="Times New Roman"/>
                <w:bCs/>
                <w:iCs/>
                <w:sz w:val="24"/>
                <w:szCs w:val="24"/>
              </w:rPr>
              <w:t xml:space="preserve"> </w:t>
            </w:r>
            <w:r w:rsidRPr="003A0692">
              <w:rPr>
                <w:rFonts w:ascii="Times New Roman" w:hAnsi="Times New Roman" w:cs="Times New Roman"/>
                <w:bCs/>
                <w:iCs/>
                <w:sz w:val="24"/>
                <w:szCs w:val="24"/>
              </w:rPr>
              <w:t xml:space="preserve">oversees PCG’s monitoring work for TANF and Workforce agencies. Specifically, she served as </w:t>
            </w:r>
            <w:r w:rsidR="003A0692">
              <w:rPr>
                <w:rFonts w:ascii="Times New Roman" w:hAnsi="Times New Roman" w:cs="Times New Roman"/>
                <w:bCs/>
                <w:iCs/>
                <w:sz w:val="24"/>
                <w:szCs w:val="24"/>
              </w:rPr>
              <w:t>E</w:t>
            </w:r>
            <w:r w:rsidRPr="003A0692">
              <w:rPr>
                <w:rFonts w:ascii="Times New Roman" w:hAnsi="Times New Roman" w:cs="Times New Roman"/>
                <w:bCs/>
                <w:iCs/>
                <w:sz w:val="24"/>
                <w:szCs w:val="24"/>
              </w:rPr>
              <w:t xml:space="preserve">ngagement </w:t>
            </w:r>
            <w:r w:rsidR="003A0692">
              <w:rPr>
                <w:rFonts w:ascii="Times New Roman" w:hAnsi="Times New Roman" w:cs="Times New Roman"/>
                <w:bCs/>
                <w:iCs/>
                <w:sz w:val="24"/>
                <w:szCs w:val="24"/>
              </w:rPr>
              <w:t>M</w:t>
            </w:r>
            <w:r w:rsidRPr="003A0692">
              <w:rPr>
                <w:rFonts w:ascii="Times New Roman" w:hAnsi="Times New Roman" w:cs="Times New Roman"/>
                <w:bCs/>
                <w:iCs/>
                <w:sz w:val="24"/>
                <w:szCs w:val="24"/>
              </w:rPr>
              <w:t>anager for the monitoring projects in Missouri related to CSBG, LIHEAP, TANF and SNAP programs, and worked with Indiana to improve its monitoring of child welfare agencies that receive TANF funding. She helped developed PCG’s Human Services Coaching Framework™ and has managed all of our coaching work. Additionally, she is a seasoned trainer and has spoken at multiple national conferences on the importance of coaching and designing programs to strengthen people’s executive function. She manages PCG’s CalWORKs employment services operation in San Diego County, CA, where PCG serves more than 4500 families receiving public assistance.  </w:t>
            </w:r>
          </w:p>
          <w:p w14:paraId="2B6137D6" w14:textId="77777777" w:rsidR="0003316D" w:rsidRPr="003A0692" w:rsidRDefault="0003316D" w:rsidP="0003316D">
            <w:pPr>
              <w:rPr>
                <w:rFonts w:ascii="Times New Roman" w:hAnsi="Times New Roman" w:cs="Times New Roman"/>
                <w:bCs/>
                <w:iCs/>
                <w:sz w:val="24"/>
                <w:szCs w:val="24"/>
              </w:rPr>
            </w:pPr>
          </w:p>
          <w:p w14:paraId="00A51211" w14:textId="13F34B49" w:rsidR="0003316D" w:rsidRPr="003A0692" w:rsidRDefault="0003316D" w:rsidP="0003316D">
            <w:pPr>
              <w:rPr>
                <w:rFonts w:ascii="Times New Roman" w:hAnsi="Times New Roman" w:cs="Times New Roman"/>
                <w:sz w:val="24"/>
                <w:szCs w:val="24"/>
              </w:rPr>
            </w:pPr>
            <w:r w:rsidRPr="003A0692">
              <w:rPr>
                <w:rFonts w:ascii="Times New Roman" w:hAnsi="Times New Roman" w:cs="Times New Roman"/>
                <w:b/>
                <w:iCs/>
                <w:sz w:val="24"/>
                <w:szCs w:val="24"/>
              </w:rPr>
              <w:t>Meredith Crouse</w:t>
            </w:r>
            <w:r w:rsidRPr="003A0692">
              <w:rPr>
                <w:rFonts w:ascii="Times New Roman" w:hAnsi="Times New Roman" w:cs="Times New Roman"/>
                <w:bCs/>
                <w:iCs/>
                <w:sz w:val="24"/>
                <w:szCs w:val="24"/>
              </w:rPr>
              <w:t xml:space="preserve"> will serve as the </w:t>
            </w:r>
            <w:r w:rsidRPr="003A0692">
              <w:rPr>
                <w:rFonts w:ascii="Times New Roman" w:hAnsi="Times New Roman" w:cs="Times New Roman"/>
                <w:b/>
                <w:iCs/>
                <w:sz w:val="24"/>
                <w:szCs w:val="24"/>
              </w:rPr>
              <w:t>Project Manager</w:t>
            </w:r>
            <w:r w:rsidRPr="003A0692">
              <w:rPr>
                <w:rFonts w:ascii="Times New Roman" w:hAnsi="Times New Roman" w:cs="Times New Roman"/>
                <w:bCs/>
                <w:iCs/>
                <w:sz w:val="24"/>
                <w:szCs w:val="24"/>
              </w:rPr>
              <w:t>, responsible for leading the project team, ensuring the work is high-quality and on-track, and serving as the primary point of contact to DWD.</w:t>
            </w:r>
            <w:r w:rsidR="003A0692">
              <w:rPr>
                <w:rFonts w:ascii="Times New Roman" w:hAnsi="Times New Roman" w:cs="Times New Roman"/>
                <w:bCs/>
                <w:iCs/>
                <w:sz w:val="24"/>
                <w:szCs w:val="24"/>
              </w:rPr>
              <w:t xml:space="preserve"> </w:t>
            </w:r>
            <w:r w:rsidRPr="003A0692">
              <w:rPr>
                <w:rFonts w:ascii="Times New Roman" w:hAnsi="Times New Roman" w:cs="Times New Roman"/>
                <w:sz w:val="24"/>
                <w:szCs w:val="24"/>
              </w:rPr>
              <w:t>Meredith, a Senior Consultant with PCG, has a decade of experience in the fields of education and workforce development. In her time at PCG, Meredith has worked with state and local workforce agencies nationwide on engagements related to policy, strategy, monitoring, business processes, program design and development, and employer engagement. She has also worked with K12 schools, Institutes of Higher Education, and state agencies on college and career pathway initiatives, program design, and strategic planning. Currently, Meredith project manages workforce program monitoring in Texas.</w:t>
            </w:r>
          </w:p>
          <w:p w14:paraId="57B2CE72" w14:textId="77777777" w:rsidR="0003316D" w:rsidRPr="003A0692" w:rsidRDefault="0003316D" w:rsidP="0003316D">
            <w:pPr>
              <w:rPr>
                <w:rFonts w:ascii="Times New Roman" w:hAnsi="Times New Roman" w:cs="Times New Roman"/>
                <w:bCs/>
                <w:iCs/>
                <w:sz w:val="24"/>
                <w:szCs w:val="24"/>
              </w:rPr>
            </w:pPr>
          </w:p>
          <w:p w14:paraId="01A6D511" w14:textId="77777777" w:rsidR="0003316D" w:rsidRPr="003A0692" w:rsidRDefault="0003316D" w:rsidP="0003316D">
            <w:pPr>
              <w:rPr>
                <w:rFonts w:ascii="Times New Roman" w:hAnsi="Times New Roman" w:cs="Times New Roman"/>
                <w:sz w:val="24"/>
                <w:szCs w:val="24"/>
              </w:rPr>
            </w:pPr>
            <w:r w:rsidRPr="003A0692">
              <w:rPr>
                <w:rFonts w:ascii="Times New Roman" w:hAnsi="Times New Roman" w:cs="Times New Roman"/>
                <w:b/>
                <w:iCs/>
                <w:sz w:val="24"/>
                <w:szCs w:val="24"/>
              </w:rPr>
              <w:t>Jennifer Starr</w:t>
            </w:r>
            <w:r w:rsidRPr="003A0692">
              <w:rPr>
                <w:rFonts w:ascii="Times New Roman" w:hAnsi="Times New Roman" w:cs="Times New Roman"/>
                <w:bCs/>
                <w:iCs/>
                <w:sz w:val="24"/>
                <w:szCs w:val="24"/>
              </w:rPr>
              <w:t xml:space="preserve"> will serve as the </w:t>
            </w:r>
            <w:r w:rsidRPr="003A0692">
              <w:rPr>
                <w:rFonts w:ascii="Times New Roman" w:hAnsi="Times New Roman" w:cs="Times New Roman"/>
                <w:b/>
                <w:iCs/>
                <w:sz w:val="24"/>
                <w:szCs w:val="24"/>
              </w:rPr>
              <w:t>Quality Assurance Analyst Lead</w:t>
            </w:r>
            <w:r w:rsidRPr="003A0692">
              <w:rPr>
                <w:rFonts w:ascii="Times New Roman" w:hAnsi="Times New Roman" w:cs="Times New Roman"/>
                <w:bCs/>
                <w:iCs/>
                <w:sz w:val="24"/>
                <w:szCs w:val="24"/>
              </w:rPr>
              <w:t xml:space="preserve"> and </w:t>
            </w:r>
            <w:r w:rsidRPr="003A0692">
              <w:rPr>
                <w:rFonts w:ascii="Times New Roman" w:hAnsi="Times New Roman" w:cs="Times New Roman"/>
                <w:b/>
                <w:iCs/>
                <w:sz w:val="24"/>
                <w:szCs w:val="24"/>
              </w:rPr>
              <w:t xml:space="preserve">Workforce Development Program Monitoring Subject Matter Expert. </w:t>
            </w:r>
            <w:r w:rsidRPr="003A0692">
              <w:rPr>
                <w:rFonts w:ascii="Times New Roman" w:hAnsi="Times New Roman" w:cs="Times New Roman"/>
                <w:bCs/>
                <w:iCs/>
                <w:sz w:val="24"/>
                <w:szCs w:val="24"/>
              </w:rPr>
              <w:t>Jennifer</w:t>
            </w:r>
            <w:r w:rsidRPr="003A0692">
              <w:rPr>
                <w:rFonts w:ascii="Times New Roman" w:hAnsi="Times New Roman" w:cs="Times New Roman"/>
                <w:bCs/>
                <w:sz w:val="24"/>
                <w:szCs w:val="24"/>
              </w:rPr>
              <w:t xml:space="preserve"> h</w:t>
            </w:r>
            <w:r w:rsidRPr="003A0692">
              <w:rPr>
                <w:rFonts w:ascii="Times New Roman" w:hAnsi="Times New Roman" w:cs="Times New Roman"/>
                <w:sz w:val="24"/>
                <w:szCs w:val="24"/>
              </w:rPr>
              <w:t xml:space="preserve">as 26 years of experience working within human service systems, including employment and workforce development. Jennifer has worked with multiple Workforce Development Boards nationwide providing quality assurance monitoring. In her current role as Lead Quality Assurance Analyst, she acts as a subject matter expert for Workforce Solutions Capital Area in Austin, Texas. Jennifer is also providing administrative entity support for the U.S. Department of Labor H1-B Grant: Scaling Apprenticeships in Information Technology, “Tech Quest Apprenticeship Expansion”.   </w:t>
            </w:r>
          </w:p>
          <w:p w14:paraId="7848B075" w14:textId="77777777" w:rsidR="0003316D" w:rsidRPr="003A0692" w:rsidRDefault="0003316D" w:rsidP="0003316D">
            <w:pPr>
              <w:rPr>
                <w:rFonts w:ascii="Times New Roman" w:hAnsi="Times New Roman" w:cs="Times New Roman"/>
                <w:bCs/>
                <w:iCs/>
                <w:sz w:val="24"/>
                <w:szCs w:val="24"/>
              </w:rPr>
            </w:pPr>
          </w:p>
          <w:p w14:paraId="17A67D0E" w14:textId="35166395" w:rsidR="0003316D" w:rsidRPr="003A0692" w:rsidRDefault="0003316D" w:rsidP="0003316D">
            <w:pPr>
              <w:rPr>
                <w:rFonts w:ascii="Times New Roman" w:hAnsi="Times New Roman" w:cs="Times New Roman"/>
                <w:sz w:val="24"/>
                <w:szCs w:val="24"/>
              </w:rPr>
            </w:pPr>
            <w:r w:rsidRPr="003A0692">
              <w:rPr>
                <w:rFonts w:ascii="Times New Roman" w:hAnsi="Times New Roman" w:cs="Times New Roman"/>
                <w:b/>
                <w:iCs/>
                <w:sz w:val="24"/>
                <w:szCs w:val="24"/>
              </w:rPr>
              <w:t>Kate Smith</w:t>
            </w:r>
            <w:r w:rsidRPr="003A0692">
              <w:rPr>
                <w:rFonts w:ascii="Times New Roman" w:hAnsi="Times New Roman" w:cs="Times New Roman"/>
                <w:bCs/>
                <w:iCs/>
                <w:sz w:val="24"/>
                <w:szCs w:val="24"/>
              </w:rPr>
              <w:t xml:space="preserve"> will serve as </w:t>
            </w:r>
            <w:r w:rsidRPr="003A0692">
              <w:rPr>
                <w:rFonts w:ascii="Times New Roman" w:hAnsi="Times New Roman" w:cs="Times New Roman"/>
                <w:b/>
                <w:iCs/>
                <w:sz w:val="24"/>
                <w:szCs w:val="24"/>
              </w:rPr>
              <w:t>Quality Assurance Analyst Support</w:t>
            </w:r>
            <w:r w:rsidRPr="003A0692">
              <w:rPr>
                <w:rFonts w:ascii="Times New Roman" w:hAnsi="Times New Roman" w:cs="Times New Roman"/>
                <w:bCs/>
                <w:iCs/>
                <w:sz w:val="24"/>
                <w:szCs w:val="24"/>
              </w:rPr>
              <w:t xml:space="preserve"> and </w:t>
            </w:r>
            <w:r w:rsidRPr="003A0692">
              <w:rPr>
                <w:rFonts w:ascii="Times New Roman" w:hAnsi="Times New Roman" w:cs="Times New Roman"/>
                <w:b/>
                <w:iCs/>
                <w:sz w:val="24"/>
                <w:szCs w:val="24"/>
              </w:rPr>
              <w:t>Fiscal Monitoring Subject Matter Expert</w:t>
            </w:r>
            <w:r w:rsidRPr="003A0692">
              <w:rPr>
                <w:rFonts w:ascii="Times New Roman" w:hAnsi="Times New Roman" w:cs="Times New Roman"/>
                <w:bCs/>
                <w:iCs/>
                <w:sz w:val="24"/>
                <w:szCs w:val="24"/>
              </w:rPr>
              <w:t xml:space="preserve"> for this project. </w:t>
            </w:r>
            <w:r w:rsidRPr="003A0692">
              <w:rPr>
                <w:rStyle w:val="BioMainTextChar"/>
                <w:rFonts w:ascii="Times New Roman" w:hAnsi="Times New Roman" w:cs="Times New Roman"/>
                <w:sz w:val="24"/>
                <w:szCs w:val="24"/>
              </w:rPr>
              <w:t>Kate is based out of our</w:t>
            </w:r>
            <w:r w:rsidRPr="003A0692">
              <w:rPr>
                <w:rFonts w:ascii="Times New Roman" w:hAnsi="Times New Roman" w:cs="Times New Roman"/>
                <w:sz w:val="24"/>
                <w:szCs w:val="24"/>
              </w:rPr>
              <w:t xml:space="preserve"> Indianapolis office. Kate has worked with multiple states, including South Dakota and Missouri, in creating victim service subrecipient programmatic and fiscal monitoring tools, as well as performed fiscal monitoring. Kate also worked with the Indiana Department of Child Services to draft a Standard Operation Procedures Manual for TANF audits and perform a gap analysis to assess the departments readiness to comply with the Family First Prevention Services Act. Prior to coming to PCG, Kate worked for the State of Indiana for over seven years. While working for the State, she was a Research Associate for the Indiana Criminal Justice Institute where she co-authored the initial Indiana Crime Victimization Survey. In addition, she co-authored best practice briefs for three of the 10 Indiana Criminal Justice Institute funding streams, including the Sexual Assault Services Program (SASP), Sexual Offense Services (SOS) program, and Byrne/JAG programs. Kate also served as a claims analyst within the Indiana Criminal Justice Institute’s Victim Compensation Division and an Investigator with the Office of the Indiana Attorney General.</w:t>
            </w:r>
          </w:p>
          <w:p w14:paraId="69184D89" w14:textId="77777777" w:rsidR="0003316D" w:rsidRPr="003A0692" w:rsidRDefault="0003316D" w:rsidP="0003316D">
            <w:pPr>
              <w:rPr>
                <w:rFonts w:ascii="Times New Roman" w:hAnsi="Times New Roman" w:cs="Times New Roman"/>
                <w:sz w:val="24"/>
                <w:szCs w:val="24"/>
              </w:rPr>
            </w:pPr>
          </w:p>
          <w:p w14:paraId="64637D99" w14:textId="6C60896A" w:rsidR="0003316D" w:rsidRPr="003A0692" w:rsidRDefault="0003316D" w:rsidP="0003316D">
            <w:pPr>
              <w:rPr>
                <w:rFonts w:ascii="Times New Roman" w:hAnsi="Times New Roman" w:cs="Times New Roman"/>
                <w:bCs/>
                <w:iCs/>
                <w:sz w:val="24"/>
                <w:szCs w:val="24"/>
              </w:rPr>
            </w:pPr>
            <w:r w:rsidRPr="003A0692">
              <w:rPr>
                <w:rFonts w:ascii="Times New Roman" w:hAnsi="Times New Roman" w:cs="Times New Roman"/>
                <w:b/>
                <w:iCs/>
                <w:sz w:val="24"/>
                <w:szCs w:val="24"/>
              </w:rPr>
              <w:lastRenderedPageBreak/>
              <w:t>Amanda Lopez, Melissa Wall, and Margaret Smith</w:t>
            </w:r>
            <w:r w:rsidRPr="003A0692">
              <w:rPr>
                <w:rFonts w:ascii="Times New Roman" w:hAnsi="Times New Roman" w:cs="Times New Roman"/>
                <w:bCs/>
                <w:iCs/>
                <w:sz w:val="24"/>
                <w:szCs w:val="24"/>
              </w:rPr>
              <w:t xml:space="preserve"> will serve as</w:t>
            </w:r>
            <w:r w:rsidR="00FF01B0">
              <w:rPr>
                <w:rFonts w:ascii="Times New Roman" w:hAnsi="Times New Roman" w:cs="Times New Roman"/>
                <w:bCs/>
                <w:iCs/>
                <w:sz w:val="24"/>
                <w:szCs w:val="24"/>
              </w:rPr>
              <w:t xml:space="preserve"> Consultants providing</w:t>
            </w:r>
            <w:r w:rsidRPr="003A0692">
              <w:rPr>
                <w:rFonts w:ascii="Times New Roman" w:hAnsi="Times New Roman" w:cs="Times New Roman"/>
                <w:bCs/>
                <w:iCs/>
                <w:sz w:val="24"/>
                <w:szCs w:val="24"/>
              </w:rPr>
              <w:t xml:space="preserve"> </w:t>
            </w:r>
            <w:r w:rsidRPr="003A0692">
              <w:rPr>
                <w:rFonts w:ascii="Times New Roman" w:hAnsi="Times New Roman" w:cs="Times New Roman"/>
                <w:b/>
                <w:iCs/>
                <w:sz w:val="24"/>
                <w:szCs w:val="24"/>
              </w:rPr>
              <w:t>Project Support</w:t>
            </w:r>
            <w:r w:rsidRPr="003A0692">
              <w:rPr>
                <w:rFonts w:ascii="Times New Roman" w:hAnsi="Times New Roman" w:cs="Times New Roman"/>
                <w:bCs/>
                <w:iCs/>
                <w:sz w:val="24"/>
                <w:szCs w:val="24"/>
              </w:rPr>
              <w:t>, contributing to analyzing policies and procedures, facilitating visioning sessions for strategic planning, and helping to write the strategic plan and monitoring procedure manual. Amanda is President at Transform Consulting Group – an Indiana-based, woman-owned, strategic, and data-driven consulting firm focused on serving nonprofits, education, government, and communities. Melissa and Margaret both serve as project consultants at Transform. All three team members have experience with research and analysis, project management, and the facilitation and development of strategic plans and procedure manuals.</w:t>
            </w:r>
          </w:p>
          <w:p w14:paraId="57D647F3" w14:textId="77777777" w:rsidR="0003316D" w:rsidRPr="003A0692" w:rsidRDefault="0003316D" w:rsidP="0003316D">
            <w:pPr>
              <w:rPr>
                <w:rFonts w:ascii="Times New Roman" w:hAnsi="Times New Roman" w:cs="Times New Roman"/>
                <w:bCs/>
                <w:iCs/>
                <w:sz w:val="24"/>
                <w:szCs w:val="24"/>
              </w:rPr>
            </w:pPr>
          </w:p>
          <w:p w14:paraId="53A129A9" w14:textId="39789578" w:rsidR="00730B92" w:rsidRPr="0003316D" w:rsidRDefault="0003316D" w:rsidP="2A3AEC91">
            <w:r w:rsidRPr="2A3AEC91">
              <w:rPr>
                <w:rFonts w:ascii="Times New Roman" w:hAnsi="Times New Roman" w:cs="Times New Roman"/>
                <w:sz w:val="24"/>
                <w:szCs w:val="24"/>
              </w:rPr>
              <w:t xml:space="preserve">For more information on the project team, please see </w:t>
            </w:r>
            <w:r w:rsidR="00B603E1" w:rsidRPr="2A3AEC91">
              <w:rPr>
                <w:rFonts w:ascii="Times New Roman" w:hAnsi="Times New Roman" w:cs="Times New Roman"/>
                <w:b/>
                <w:bCs/>
                <w:sz w:val="24"/>
                <w:szCs w:val="24"/>
              </w:rPr>
              <w:t xml:space="preserve">Appendix </w:t>
            </w:r>
            <w:r w:rsidR="63880139" w:rsidRPr="2A3AEC91">
              <w:rPr>
                <w:rFonts w:ascii="Times New Roman" w:hAnsi="Times New Roman" w:cs="Times New Roman"/>
                <w:b/>
                <w:bCs/>
                <w:sz w:val="24"/>
                <w:szCs w:val="24"/>
              </w:rPr>
              <w:t>K</w:t>
            </w:r>
            <w:r w:rsidR="00301EDD" w:rsidRPr="2A3AEC91">
              <w:rPr>
                <w:rFonts w:ascii="Times New Roman" w:hAnsi="Times New Roman" w:cs="Times New Roman"/>
                <w:b/>
                <w:bCs/>
                <w:sz w:val="24"/>
                <w:szCs w:val="24"/>
              </w:rPr>
              <w:t xml:space="preserve"> - PCG Project Team Resumes</w:t>
            </w:r>
            <w:r w:rsidRPr="2A3AEC91">
              <w:rPr>
                <w:rFonts w:ascii="Times New Roman" w:hAnsi="Times New Roman" w:cs="Times New Roman"/>
                <w:sz w:val="24"/>
                <w:szCs w:val="24"/>
              </w:rPr>
              <w:t>.</w:t>
            </w:r>
          </w:p>
        </w:tc>
      </w:tr>
    </w:tbl>
    <w:p w14:paraId="1D2BDE16" w14:textId="77777777" w:rsidR="00194DD8" w:rsidRPr="00194DD8" w:rsidRDefault="00194DD8" w:rsidP="00194DD8">
      <w:pPr>
        <w:spacing w:after="0"/>
        <w:rPr>
          <w:rFonts w:ascii="Garamond" w:hAnsi="Garamond"/>
          <w:bCs/>
          <w:iCs/>
          <w:sz w:val="24"/>
          <w:szCs w:val="24"/>
        </w:rPr>
      </w:pPr>
    </w:p>
    <w:p w14:paraId="36F3BCC6" w14:textId="77777777" w:rsidR="00194DD8" w:rsidRPr="00194DD8" w:rsidRDefault="00194DD8" w:rsidP="00E038C3">
      <w:pPr>
        <w:numPr>
          <w:ilvl w:val="2"/>
          <w:numId w:val="4"/>
        </w:numPr>
        <w:spacing w:after="0"/>
        <w:rPr>
          <w:rFonts w:ascii="Garamond" w:hAnsi="Garamond"/>
          <w:b/>
          <w:iCs/>
          <w:sz w:val="24"/>
          <w:szCs w:val="24"/>
        </w:rPr>
      </w:pPr>
      <w:r w:rsidRPr="00194DD8">
        <w:rPr>
          <w:rFonts w:ascii="Garamond" w:hAnsi="Garamond"/>
          <w:b/>
          <w:iCs/>
          <w:sz w:val="24"/>
          <w:szCs w:val="24"/>
        </w:rPr>
        <w:t>Service Delivery and Project Management Approach</w:t>
      </w:r>
    </w:p>
    <w:p w14:paraId="3F9DB60C" w14:textId="77777777" w:rsidR="00194DD8" w:rsidRPr="00194DD8" w:rsidRDefault="00194DD8" w:rsidP="00E038C3">
      <w:pPr>
        <w:numPr>
          <w:ilvl w:val="0"/>
          <w:numId w:val="3"/>
        </w:numPr>
        <w:spacing w:after="0"/>
        <w:rPr>
          <w:rFonts w:ascii="Garamond" w:hAnsi="Garamond"/>
          <w:bCs/>
          <w:iCs/>
          <w:sz w:val="24"/>
          <w:szCs w:val="24"/>
        </w:rPr>
      </w:pPr>
      <w:r w:rsidRPr="00194DD8">
        <w:rPr>
          <w:rFonts w:ascii="Garamond" w:hAnsi="Garamond"/>
          <w:bCs/>
          <w:iCs/>
          <w:sz w:val="24"/>
          <w:szCs w:val="24"/>
        </w:rPr>
        <w:t>Please provide a detailed description of how you will perform the following services:</w:t>
      </w:r>
    </w:p>
    <w:p w14:paraId="205DB417" w14:textId="77777777" w:rsidR="00194DD8" w:rsidRPr="00194DD8" w:rsidRDefault="00194DD8" w:rsidP="00E038C3">
      <w:pPr>
        <w:numPr>
          <w:ilvl w:val="1"/>
          <w:numId w:val="3"/>
        </w:numPr>
        <w:spacing w:after="0"/>
        <w:rPr>
          <w:rFonts w:ascii="Garamond" w:hAnsi="Garamond"/>
          <w:bCs/>
          <w:iCs/>
          <w:sz w:val="24"/>
          <w:szCs w:val="24"/>
        </w:rPr>
      </w:pPr>
      <w:r w:rsidRPr="00194DD8">
        <w:rPr>
          <w:rFonts w:ascii="Garamond" w:hAnsi="Garamond"/>
          <w:bCs/>
          <w:iCs/>
          <w:sz w:val="24"/>
          <w:szCs w:val="24"/>
        </w:rPr>
        <w:t>Review all current compliance-related processes, tools, and documentation across programs and create a consolidated inventory of such;</w:t>
      </w:r>
    </w:p>
    <w:p w14:paraId="45D2A601" w14:textId="77777777" w:rsidR="00194DD8" w:rsidRPr="00194DD8" w:rsidRDefault="00194DD8" w:rsidP="00E038C3">
      <w:pPr>
        <w:numPr>
          <w:ilvl w:val="1"/>
          <w:numId w:val="3"/>
        </w:numPr>
        <w:spacing w:after="0"/>
        <w:rPr>
          <w:rFonts w:ascii="Garamond" w:hAnsi="Garamond"/>
          <w:bCs/>
          <w:iCs/>
          <w:sz w:val="24"/>
          <w:szCs w:val="24"/>
        </w:rPr>
      </w:pPr>
      <w:r w:rsidRPr="00194DD8">
        <w:rPr>
          <w:rFonts w:ascii="Garamond" w:hAnsi="Garamond"/>
          <w:bCs/>
          <w:iCs/>
          <w:sz w:val="24"/>
          <w:szCs w:val="24"/>
        </w:rPr>
        <w:t>Identify strengths, gaps, and opportunities via evaluation of current policies and processes;</w:t>
      </w:r>
    </w:p>
    <w:p w14:paraId="3D37516D" w14:textId="77777777" w:rsidR="00194DD8" w:rsidRPr="00194DD8" w:rsidRDefault="00194DD8" w:rsidP="00E038C3">
      <w:pPr>
        <w:numPr>
          <w:ilvl w:val="1"/>
          <w:numId w:val="3"/>
        </w:numPr>
        <w:spacing w:after="0"/>
        <w:rPr>
          <w:rFonts w:ascii="Garamond" w:hAnsi="Garamond"/>
          <w:bCs/>
          <w:iCs/>
          <w:sz w:val="24"/>
          <w:szCs w:val="24"/>
        </w:rPr>
      </w:pPr>
      <w:r w:rsidRPr="00194DD8">
        <w:rPr>
          <w:rFonts w:ascii="Garamond" w:hAnsi="Garamond"/>
          <w:bCs/>
          <w:iCs/>
          <w:sz w:val="24"/>
          <w:szCs w:val="24"/>
        </w:rPr>
        <w:t>Research industry best practices in program performance evaluation and fiscal monitoring of workforce programs;</w:t>
      </w:r>
    </w:p>
    <w:p w14:paraId="0E3B8D01" w14:textId="77777777" w:rsidR="00194DD8" w:rsidRPr="00194DD8" w:rsidRDefault="00194DD8" w:rsidP="00E038C3">
      <w:pPr>
        <w:numPr>
          <w:ilvl w:val="1"/>
          <w:numId w:val="3"/>
        </w:numPr>
        <w:spacing w:after="0"/>
        <w:rPr>
          <w:rFonts w:ascii="Garamond" w:hAnsi="Garamond"/>
          <w:bCs/>
          <w:iCs/>
          <w:sz w:val="24"/>
          <w:szCs w:val="24"/>
        </w:rPr>
      </w:pPr>
      <w:r w:rsidRPr="00194DD8">
        <w:rPr>
          <w:rFonts w:ascii="Garamond" w:hAnsi="Garamond"/>
          <w:bCs/>
          <w:iCs/>
          <w:sz w:val="24"/>
          <w:szCs w:val="24"/>
        </w:rPr>
        <w:t xml:space="preserve">Develop, in conjunction with the DWD Compliance Team, a comprehensive DWD Compliance Strategic Plan that will ensure continuous quality improvement and align with project tasks identified in the scope of work. </w:t>
      </w:r>
    </w:p>
    <w:p w14:paraId="22DFB30B" w14:textId="00671181" w:rsidR="00C82370" w:rsidRPr="00C82370" w:rsidRDefault="00194DD8" w:rsidP="00E038C3">
      <w:pPr>
        <w:numPr>
          <w:ilvl w:val="1"/>
          <w:numId w:val="3"/>
        </w:numPr>
        <w:spacing w:after="0"/>
        <w:rPr>
          <w:rFonts w:ascii="Garamond" w:hAnsi="Garamond"/>
          <w:bCs/>
          <w:iCs/>
          <w:sz w:val="24"/>
          <w:szCs w:val="24"/>
        </w:rPr>
      </w:pPr>
      <w:r w:rsidRPr="00194DD8">
        <w:rPr>
          <w:rFonts w:ascii="Garamond" w:hAnsi="Garamond"/>
          <w:bCs/>
          <w:iCs/>
          <w:sz w:val="24"/>
          <w:szCs w:val="24"/>
        </w:rPr>
        <w:t>Develop, in conjunction with the DWD Compliance Team, a DWD Monitoring Manual/Procedure and associated monitoring tools across programs.</w:t>
      </w:r>
    </w:p>
    <w:tbl>
      <w:tblPr>
        <w:tblStyle w:val="TableGrid"/>
        <w:tblW w:w="0" w:type="auto"/>
        <w:tblInd w:w="1080" w:type="dxa"/>
        <w:tblLook w:val="04A0" w:firstRow="1" w:lastRow="0" w:firstColumn="1" w:lastColumn="0" w:noHBand="0" w:noVBand="1"/>
      </w:tblPr>
      <w:tblGrid>
        <w:gridCol w:w="9710"/>
      </w:tblGrid>
      <w:tr w:rsidR="007B1E94" w14:paraId="54457045" w14:textId="77777777" w:rsidTr="008C4D96">
        <w:tc>
          <w:tcPr>
            <w:tcW w:w="10790" w:type="dxa"/>
            <w:shd w:val="clear" w:color="auto" w:fill="FFFF99"/>
          </w:tcPr>
          <w:p w14:paraId="3D4C5FC3" w14:textId="77777777"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PCG’s approach to this scope of work includes:</w:t>
            </w:r>
          </w:p>
          <w:p w14:paraId="2764DA3B" w14:textId="77777777" w:rsidR="00E2026A" w:rsidRPr="007A2BD6" w:rsidRDefault="00E2026A" w:rsidP="007A2BD6">
            <w:pPr>
              <w:contextualSpacing/>
              <w:rPr>
                <w:rFonts w:ascii="Times New Roman" w:hAnsi="Times New Roman" w:cs="Times New Roman"/>
                <w:sz w:val="24"/>
                <w:szCs w:val="24"/>
              </w:rPr>
            </w:pPr>
          </w:p>
          <w:p w14:paraId="36029262" w14:textId="77777777" w:rsidR="00CA51C1" w:rsidRPr="007A2BD6" w:rsidRDefault="00CA51C1" w:rsidP="00E038C3">
            <w:pPr>
              <w:pStyle w:val="ListParagraph"/>
              <w:numPr>
                <w:ilvl w:val="0"/>
                <w:numId w:val="21"/>
              </w:numPr>
              <w:spacing w:after="160" w:line="259" w:lineRule="auto"/>
              <w:rPr>
                <w:rFonts w:ascii="Times New Roman" w:hAnsi="Times New Roman"/>
                <w:sz w:val="24"/>
                <w:szCs w:val="24"/>
              </w:rPr>
            </w:pPr>
            <w:r w:rsidRPr="007A2BD6">
              <w:rPr>
                <w:rFonts w:ascii="Times New Roman" w:hAnsi="Times New Roman"/>
                <w:sz w:val="24"/>
                <w:szCs w:val="24"/>
              </w:rPr>
              <w:t>The collection of data and information through a data request to collect compliance documentation for the consolidated inventory and compliance evaluation findings report</w:t>
            </w:r>
          </w:p>
          <w:p w14:paraId="1BB68B93" w14:textId="77777777" w:rsidR="00CA51C1" w:rsidRPr="007A2BD6" w:rsidRDefault="00CA51C1" w:rsidP="00E038C3">
            <w:pPr>
              <w:pStyle w:val="ListParagraph"/>
              <w:numPr>
                <w:ilvl w:val="0"/>
                <w:numId w:val="21"/>
              </w:numPr>
              <w:spacing w:after="160" w:line="259" w:lineRule="auto"/>
              <w:rPr>
                <w:rFonts w:ascii="Times New Roman" w:hAnsi="Times New Roman"/>
                <w:sz w:val="24"/>
                <w:szCs w:val="24"/>
              </w:rPr>
            </w:pPr>
            <w:r w:rsidRPr="007A2BD6">
              <w:rPr>
                <w:rFonts w:ascii="Times New Roman" w:hAnsi="Times New Roman"/>
                <w:sz w:val="24"/>
                <w:szCs w:val="24"/>
              </w:rPr>
              <w:t>Staff interviews to help inform the challenges and opportunities with the current policies and procedures</w:t>
            </w:r>
          </w:p>
          <w:p w14:paraId="4515554D" w14:textId="77777777" w:rsidR="00CA51C1" w:rsidRPr="007A2BD6" w:rsidRDefault="00CA51C1" w:rsidP="00E038C3">
            <w:pPr>
              <w:pStyle w:val="ListParagraph"/>
              <w:numPr>
                <w:ilvl w:val="0"/>
                <w:numId w:val="21"/>
              </w:numPr>
              <w:spacing w:after="160" w:line="259" w:lineRule="auto"/>
              <w:rPr>
                <w:rFonts w:ascii="Times New Roman" w:hAnsi="Times New Roman"/>
                <w:sz w:val="24"/>
                <w:szCs w:val="24"/>
              </w:rPr>
            </w:pPr>
            <w:r w:rsidRPr="007A2BD6">
              <w:rPr>
                <w:rFonts w:ascii="Times New Roman" w:hAnsi="Times New Roman"/>
                <w:sz w:val="24"/>
                <w:szCs w:val="24"/>
              </w:rPr>
              <w:t>Best practice research to identify opportunities to improve DWD tools and procedures</w:t>
            </w:r>
          </w:p>
          <w:p w14:paraId="5E764F13" w14:textId="77777777" w:rsidR="00CA51C1" w:rsidRPr="007A2BD6" w:rsidRDefault="00CA51C1" w:rsidP="00E038C3">
            <w:pPr>
              <w:pStyle w:val="ListParagraph"/>
              <w:numPr>
                <w:ilvl w:val="0"/>
                <w:numId w:val="21"/>
              </w:numPr>
              <w:spacing w:after="160" w:line="259" w:lineRule="auto"/>
              <w:rPr>
                <w:rFonts w:ascii="Times New Roman" w:hAnsi="Times New Roman"/>
                <w:sz w:val="24"/>
                <w:szCs w:val="24"/>
              </w:rPr>
            </w:pPr>
            <w:r w:rsidRPr="007A2BD6">
              <w:rPr>
                <w:rFonts w:ascii="Times New Roman" w:hAnsi="Times New Roman"/>
                <w:sz w:val="24"/>
                <w:szCs w:val="24"/>
              </w:rPr>
              <w:t>Visioning sessions to identify the goals and structure for the strategic plan and monitoring manual</w:t>
            </w:r>
          </w:p>
          <w:p w14:paraId="7BC47F83" w14:textId="1F1E358D"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These efforts will result in a report on compliance evaluation findings, including a consolidated inventory of existing compliance and monitoring documents; a DWD compliance strategic plan; and a DWD monitoring procedures manual.</w:t>
            </w:r>
          </w:p>
          <w:p w14:paraId="64F91792" w14:textId="77777777" w:rsidR="007A2BD6" w:rsidRPr="007A2BD6" w:rsidRDefault="007A2BD6" w:rsidP="007A2BD6">
            <w:pPr>
              <w:contextualSpacing/>
              <w:rPr>
                <w:rFonts w:ascii="Times New Roman" w:hAnsi="Times New Roman" w:cs="Times New Roman"/>
                <w:sz w:val="24"/>
                <w:szCs w:val="24"/>
              </w:rPr>
            </w:pPr>
          </w:p>
          <w:p w14:paraId="206F25D1" w14:textId="77777777" w:rsidR="00247D23" w:rsidRPr="007A2BD6" w:rsidRDefault="00247D23" w:rsidP="00247D23">
            <w:pPr>
              <w:pStyle w:val="ListParagraph"/>
              <w:numPr>
                <w:ilvl w:val="0"/>
                <w:numId w:val="31"/>
              </w:numPr>
              <w:ind w:left="610"/>
              <w:rPr>
                <w:rFonts w:ascii="Times New Roman" w:hAnsi="Times New Roman"/>
                <w:bCs/>
                <w:i/>
                <w:sz w:val="24"/>
                <w:szCs w:val="24"/>
              </w:rPr>
            </w:pPr>
            <w:r w:rsidRPr="007A2BD6">
              <w:rPr>
                <w:rFonts w:ascii="Times New Roman" w:hAnsi="Times New Roman"/>
                <w:bCs/>
                <w:i/>
                <w:sz w:val="24"/>
                <w:szCs w:val="24"/>
              </w:rPr>
              <w:t>Review all current compliance-related processes, tools, and documentation across programs and create a consolidated inventory of such;</w:t>
            </w:r>
          </w:p>
          <w:p w14:paraId="6A1AC7C8" w14:textId="77777777" w:rsidR="00247D23" w:rsidRPr="007A2BD6" w:rsidRDefault="00247D23" w:rsidP="007A2BD6">
            <w:pPr>
              <w:contextualSpacing/>
              <w:rPr>
                <w:rFonts w:ascii="Times New Roman" w:hAnsi="Times New Roman" w:cs="Times New Roman"/>
                <w:sz w:val="24"/>
                <w:szCs w:val="24"/>
              </w:rPr>
            </w:pPr>
          </w:p>
          <w:p w14:paraId="3C5CCF35" w14:textId="00F72C56"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In order to conduct a comprehensive review of the current compliance-related processes, tools, and documentation across programs and create a consolidated inventory, PCG will review publicly available information (such as resources from the DWD website) and will request additional information from DWD. PCG will work with DWD to confirm the information to be reviewed is comprehensive of all existing documentation related to compliance. The list below includes information and documents PCG has found on DWD’s website that will be reviewed for the comprehensive inventory:</w:t>
            </w:r>
          </w:p>
          <w:p w14:paraId="256C89A7" w14:textId="77777777" w:rsidR="0077073E" w:rsidRPr="007A2BD6" w:rsidRDefault="0077073E" w:rsidP="007A2BD6">
            <w:pPr>
              <w:contextualSpacing/>
              <w:rPr>
                <w:rFonts w:ascii="Times New Roman" w:hAnsi="Times New Roman" w:cs="Times New Roman"/>
                <w:sz w:val="24"/>
                <w:szCs w:val="24"/>
              </w:rPr>
            </w:pPr>
          </w:p>
          <w:p w14:paraId="4F85FF97" w14:textId="77777777" w:rsidR="00CA51C1" w:rsidRPr="007A2BD6" w:rsidRDefault="00CA51C1" w:rsidP="007A2BD6">
            <w:pPr>
              <w:contextualSpacing/>
              <w:rPr>
                <w:rFonts w:ascii="Times New Roman" w:hAnsi="Times New Roman" w:cs="Times New Roman"/>
                <w:b/>
                <w:sz w:val="24"/>
                <w:szCs w:val="24"/>
              </w:rPr>
            </w:pPr>
            <w:r w:rsidRPr="007A2BD6">
              <w:rPr>
                <w:rFonts w:ascii="Times New Roman" w:hAnsi="Times New Roman" w:cs="Times New Roman"/>
                <w:b/>
                <w:bCs/>
                <w:sz w:val="24"/>
                <w:szCs w:val="24"/>
              </w:rPr>
              <w:lastRenderedPageBreak/>
              <w:t>Publicly Available Information for Review:</w:t>
            </w:r>
          </w:p>
          <w:p w14:paraId="62AB2DCD" w14:textId="77777777" w:rsidR="00CA51C1" w:rsidRPr="007A2BD6" w:rsidRDefault="00CA51C1" w:rsidP="00E038C3">
            <w:pPr>
              <w:pStyle w:val="ListParagraph"/>
              <w:numPr>
                <w:ilvl w:val="0"/>
                <w:numId w:val="16"/>
              </w:numPr>
              <w:spacing w:line="259" w:lineRule="auto"/>
              <w:rPr>
                <w:rFonts w:ascii="Times New Roman" w:hAnsi="Times New Roman"/>
                <w:sz w:val="24"/>
                <w:szCs w:val="24"/>
              </w:rPr>
            </w:pPr>
            <w:r w:rsidRPr="007A2BD6">
              <w:rPr>
                <w:rFonts w:ascii="Times New Roman" w:hAnsi="Times New Roman"/>
                <w:sz w:val="24"/>
                <w:szCs w:val="24"/>
              </w:rPr>
              <w:t xml:space="preserve">DWD Monitoring Tools for programs including: </w:t>
            </w:r>
          </w:p>
          <w:p w14:paraId="5C090B88" w14:textId="67AA549B" w:rsidR="00CA51C1" w:rsidRPr="007A2BD6" w:rsidRDefault="00CA51C1" w:rsidP="00E038C3">
            <w:pPr>
              <w:pStyle w:val="ListParagraph"/>
              <w:numPr>
                <w:ilvl w:val="1"/>
                <w:numId w:val="16"/>
              </w:numPr>
              <w:spacing w:line="259" w:lineRule="auto"/>
              <w:rPr>
                <w:rFonts w:ascii="Times New Roman" w:hAnsi="Times New Roman"/>
                <w:sz w:val="24"/>
                <w:szCs w:val="24"/>
              </w:rPr>
            </w:pPr>
            <w:r w:rsidRPr="00826C68">
              <w:rPr>
                <w:rFonts w:ascii="Times New Roman" w:hAnsi="Times New Roman"/>
                <w:sz w:val="24"/>
                <w:szCs w:val="24"/>
              </w:rPr>
              <w:t>Titles I, II, and III of the Workforce Innovation and Opportunity Act (WIOA Adult, Dislocated Worker, and Youth Services</w:t>
            </w:r>
          </w:p>
          <w:p w14:paraId="620C361F"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WIOA Adult Participant File Review Checklist</w:t>
            </w:r>
          </w:p>
          <w:p w14:paraId="09853BAD"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WIOA Dislocated Worker Participant File Review Checklist</w:t>
            </w:r>
          </w:p>
          <w:p w14:paraId="574F0B5A"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WIOA Youth Participant File Review Checklist</w:t>
            </w:r>
          </w:p>
          <w:p w14:paraId="0E735BAF" w14:textId="0C7C9AA0" w:rsidR="00CA51C1" w:rsidRPr="007A2BD6" w:rsidRDefault="00CA51C1" w:rsidP="00E038C3">
            <w:pPr>
              <w:pStyle w:val="ListParagraph"/>
              <w:numPr>
                <w:ilvl w:val="1"/>
                <w:numId w:val="16"/>
              </w:numPr>
              <w:spacing w:line="259" w:lineRule="auto"/>
              <w:rPr>
                <w:rFonts w:ascii="Times New Roman" w:hAnsi="Times New Roman"/>
                <w:sz w:val="24"/>
                <w:szCs w:val="24"/>
              </w:rPr>
            </w:pPr>
            <w:r w:rsidRPr="00826C68">
              <w:rPr>
                <w:rFonts w:ascii="Times New Roman" w:hAnsi="Times New Roman"/>
                <w:sz w:val="24"/>
                <w:szCs w:val="24"/>
              </w:rPr>
              <w:t>Equal Opportunity</w:t>
            </w:r>
          </w:p>
          <w:p w14:paraId="7A90EFD5"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EO Pre-Monitoring Review Tool</w:t>
            </w:r>
          </w:p>
          <w:p w14:paraId="254DC57A"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EO Monitoring Tool</w:t>
            </w:r>
          </w:p>
          <w:p w14:paraId="339D9FFB"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DWD EO Policy</w:t>
            </w:r>
          </w:p>
          <w:p w14:paraId="410F1EAD"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ADA Assessment Checklist</w:t>
            </w:r>
          </w:p>
          <w:p w14:paraId="7C18990D"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ADA VR Assessment Checklist</w:t>
            </w:r>
          </w:p>
          <w:p w14:paraId="56B48F7E"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Complaint Log</w:t>
            </w:r>
          </w:p>
          <w:p w14:paraId="67F1B3B5"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LWDA EO Monitoring Survey/Tool</w:t>
            </w:r>
          </w:p>
          <w:p w14:paraId="3E8805EA"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Local EO Monitoring Tool Example</w:t>
            </w:r>
          </w:p>
          <w:p w14:paraId="0357AFB6"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Legislation - WIOA Section 188 Reference Guide</w:t>
            </w:r>
          </w:p>
          <w:p w14:paraId="55FC9A74"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Civil Rights Center Statues and Regulations</w:t>
            </w:r>
          </w:p>
          <w:p w14:paraId="56BE3CF7"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EO Officer Responsibilities &amp; Directory</w:t>
            </w:r>
          </w:p>
          <w:p w14:paraId="5B35ADFD"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Nondiscrimination Plan</w:t>
            </w:r>
          </w:p>
          <w:p w14:paraId="3560B015"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Training Resources</w:t>
            </w:r>
          </w:p>
          <w:p w14:paraId="594FE20E" w14:textId="23449736"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Adult Education</w:t>
            </w:r>
          </w:p>
          <w:p w14:paraId="68A0176A" w14:textId="1969B71B"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Wagner Peyser</w:t>
            </w:r>
          </w:p>
          <w:p w14:paraId="60AF1FAA" w14:textId="75BF92E5"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Migrant and Seasonal Farmworker (MSFW)</w:t>
            </w:r>
          </w:p>
          <w:p w14:paraId="395E94A6" w14:textId="07A23B0A"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Jobs for Veterans State Grants (JVSG)</w:t>
            </w:r>
          </w:p>
          <w:p w14:paraId="7C79809D" w14:textId="51735819"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Apprenticeship</w:t>
            </w:r>
          </w:p>
          <w:p w14:paraId="5C47FED8" w14:textId="51078921"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Trade Act</w:t>
            </w:r>
          </w:p>
          <w:p w14:paraId="51088F64" w14:textId="29248CDC"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Reemployment Services and Eligibility Assessments (RESEA)</w:t>
            </w:r>
          </w:p>
          <w:p w14:paraId="5071D0E2"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Senior Community Service Employment Program (SCSEP)</w:t>
            </w:r>
          </w:p>
          <w:p w14:paraId="39675AF9" w14:textId="7A3C8D8A" w:rsidR="00CA51C1" w:rsidRPr="007A2BD6" w:rsidRDefault="00CA51C1" w:rsidP="00E038C3">
            <w:pPr>
              <w:pStyle w:val="ListParagraph"/>
              <w:numPr>
                <w:ilvl w:val="1"/>
                <w:numId w:val="16"/>
              </w:numPr>
              <w:spacing w:line="259" w:lineRule="auto"/>
              <w:rPr>
                <w:rFonts w:ascii="Times New Roman" w:hAnsi="Times New Roman"/>
                <w:sz w:val="24"/>
                <w:szCs w:val="24"/>
              </w:rPr>
            </w:pPr>
            <w:r w:rsidRPr="00F53E74">
              <w:rPr>
                <w:rFonts w:ascii="Times New Roman" w:hAnsi="Times New Roman"/>
                <w:sz w:val="24"/>
                <w:szCs w:val="24"/>
              </w:rPr>
              <w:t>General Checklists and Tools</w:t>
            </w:r>
          </w:p>
          <w:p w14:paraId="4D19D960"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Pre-Monitoring Questionnaire &amp; Documentation Request Checklist</w:t>
            </w:r>
          </w:p>
          <w:p w14:paraId="73B50652"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Internal Control Matrix</w:t>
            </w:r>
          </w:p>
          <w:p w14:paraId="02C07ED0"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WDB Membership Template</w:t>
            </w:r>
          </w:p>
          <w:p w14:paraId="2DCDB154"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Fiscal Monitoring Tool</w:t>
            </w:r>
          </w:p>
          <w:p w14:paraId="4718AD19"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Program Monitoring Tool</w:t>
            </w:r>
          </w:p>
          <w:p w14:paraId="18B570CD"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Risk Assessment Tool</w:t>
            </w:r>
          </w:p>
          <w:p w14:paraId="03B51E5A"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WorkOne/AJC On-Site Office Review Checklist</w:t>
            </w:r>
          </w:p>
          <w:p w14:paraId="565A06CF"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WIOA Adult Participant File Review Checklist</w:t>
            </w:r>
          </w:p>
          <w:p w14:paraId="56C4222B"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WIOA Dislocated Worker Participant File Review Checklist</w:t>
            </w:r>
          </w:p>
          <w:p w14:paraId="3D5FA5D6"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WIOA Youth Participant File Review Checklist</w:t>
            </w:r>
          </w:p>
          <w:p w14:paraId="1969D0E5" w14:textId="77777777" w:rsidR="00CA51C1" w:rsidRPr="007A2BD6" w:rsidRDefault="00CA51C1" w:rsidP="00E038C3">
            <w:pPr>
              <w:pStyle w:val="ListParagraph"/>
              <w:numPr>
                <w:ilvl w:val="0"/>
                <w:numId w:val="16"/>
              </w:numPr>
              <w:spacing w:after="160" w:line="259" w:lineRule="auto"/>
              <w:rPr>
                <w:rFonts w:ascii="Times New Roman" w:hAnsi="Times New Roman"/>
                <w:sz w:val="24"/>
                <w:szCs w:val="24"/>
              </w:rPr>
            </w:pPr>
            <w:r w:rsidRPr="007A2BD6">
              <w:rPr>
                <w:rFonts w:ascii="Times New Roman" w:hAnsi="Times New Roman"/>
                <w:sz w:val="24"/>
                <w:szCs w:val="24"/>
              </w:rPr>
              <w:t>LWDA Monitoring Schedule (by region)</w:t>
            </w:r>
          </w:p>
          <w:p w14:paraId="0B7FA5FB" w14:textId="000EDB20" w:rsidR="00CA51C1" w:rsidRPr="007A2BD6" w:rsidRDefault="00CA51C1" w:rsidP="00E038C3">
            <w:pPr>
              <w:pStyle w:val="ListParagraph"/>
              <w:numPr>
                <w:ilvl w:val="0"/>
                <w:numId w:val="16"/>
              </w:numPr>
              <w:spacing w:after="160" w:line="259" w:lineRule="auto"/>
              <w:rPr>
                <w:rFonts w:ascii="Times New Roman" w:hAnsi="Times New Roman"/>
                <w:sz w:val="24"/>
                <w:szCs w:val="24"/>
              </w:rPr>
            </w:pPr>
            <w:r w:rsidRPr="007A2BD6">
              <w:rPr>
                <w:rFonts w:ascii="Times New Roman" w:hAnsi="Times New Roman"/>
                <w:sz w:val="24"/>
                <w:szCs w:val="24"/>
              </w:rPr>
              <w:t>DWD Policies and Federal Guidance Resources</w:t>
            </w:r>
          </w:p>
          <w:p w14:paraId="3B0F37EB"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t>DWD Policy 2015-06 Interim Monitoring Policy</w:t>
            </w:r>
          </w:p>
          <w:p w14:paraId="51E112E1"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t>DWD Policy 2016-03 Grantee and Grantee Sub-Recipient Audit Requirements</w:t>
            </w:r>
          </w:p>
          <w:p w14:paraId="429E19C7"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t>DWD Policy 2016-09 Equal Opportunity and Nondiscrimination Guidance Letter</w:t>
            </w:r>
          </w:p>
          <w:p w14:paraId="464FD18B"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t>WIOA</w:t>
            </w:r>
          </w:p>
          <w:p w14:paraId="7F268AB3"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t>WIOA Resources</w:t>
            </w:r>
          </w:p>
          <w:p w14:paraId="04A3E0A1"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lastRenderedPageBreak/>
              <w:t>ETA Advisories</w:t>
            </w:r>
          </w:p>
          <w:p w14:paraId="1DED2DAC"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sz w:val="24"/>
                <w:szCs w:val="24"/>
              </w:rPr>
              <w:t>Equal Opportunity Final Rule – 29 CFR Part 38</w:t>
            </w:r>
          </w:p>
          <w:p w14:paraId="2EFDE744"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b/>
                <w:bCs/>
                <w:sz w:val="24"/>
                <w:szCs w:val="24"/>
              </w:rPr>
              <w:t>Uniform Administrative Requirements, Cost Principles, and Audit Requirements for Federal Awards</w:t>
            </w:r>
          </w:p>
          <w:p w14:paraId="5D9DF5FE"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2 CFR Part 200</w:t>
            </w:r>
          </w:p>
          <w:p w14:paraId="0FF2E665"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2 CFR Part 2900</w:t>
            </w:r>
          </w:p>
          <w:p w14:paraId="747D715A" w14:textId="77777777" w:rsidR="00CA51C1" w:rsidRPr="007A2BD6" w:rsidRDefault="00CA51C1" w:rsidP="00E038C3">
            <w:pPr>
              <w:pStyle w:val="ListParagraph"/>
              <w:numPr>
                <w:ilvl w:val="1"/>
                <w:numId w:val="16"/>
              </w:numPr>
              <w:spacing w:line="259" w:lineRule="auto"/>
              <w:rPr>
                <w:rFonts w:ascii="Times New Roman" w:hAnsi="Times New Roman"/>
                <w:sz w:val="24"/>
                <w:szCs w:val="24"/>
              </w:rPr>
            </w:pPr>
            <w:r w:rsidRPr="007A2BD6">
              <w:rPr>
                <w:rFonts w:ascii="Times New Roman" w:hAnsi="Times New Roman"/>
                <w:b/>
                <w:bCs/>
                <w:sz w:val="24"/>
                <w:szCs w:val="24"/>
              </w:rPr>
              <w:t>20 CFR Chapter V - Employment and Training Administration, Department of Labor</w:t>
            </w:r>
          </w:p>
          <w:p w14:paraId="0B728089" w14:textId="77777777" w:rsidR="00CA51C1" w:rsidRPr="007A2BD6" w:rsidRDefault="00CA51C1" w:rsidP="00E038C3">
            <w:pPr>
              <w:pStyle w:val="ListParagraph"/>
              <w:numPr>
                <w:ilvl w:val="2"/>
                <w:numId w:val="16"/>
              </w:numPr>
              <w:spacing w:line="259" w:lineRule="auto"/>
              <w:rPr>
                <w:rFonts w:ascii="Times New Roman" w:hAnsi="Times New Roman"/>
                <w:sz w:val="24"/>
                <w:szCs w:val="24"/>
              </w:rPr>
            </w:pPr>
            <w:r w:rsidRPr="007A2BD6">
              <w:rPr>
                <w:rFonts w:ascii="Times New Roman" w:hAnsi="Times New Roman"/>
                <w:sz w:val="24"/>
                <w:szCs w:val="24"/>
              </w:rPr>
              <w:t>20 CFR Part 600-699 </w:t>
            </w:r>
          </w:p>
          <w:p w14:paraId="42B9BE8B" w14:textId="77777777" w:rsidR="00CA51C1" w:rsidRPr="007A2BD6" w:rsidRDefault="00CA51C1" w:rsidP="007A2BD6">
            <w:pPr>
              <w:contextualSpacing/>
              <w:rPr>
                <w:rFonts w:ascii="Times New Roman" w:hAnsi="Times New Roman" w:cs="Times New Roman"/>
                <w:color w:val="1A4F8C"/>
                <w:sz w:val="24"/>
                <w:szCs w:val="24"/>
                <w:u w:val="single"/>
              </w:rPr>
            </w:pPr>
          </w:p>
          <w:p w14:paraId="6ACFABDE" w14:textId="77777777" w:rsidR="00CA51C1" w:rsidRPr="007A2BD6"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In addition to reviewing the publicly available information listed above, PCG will submit a request to DWD for information and documents for review. The request will include, but is not limited to the following:</w:t>
            </w:r>
          </w:p>
          <w:p w14:paraId="3C014787" w14:textId="77777777" w:rsidR="00CA51C1" w:rsidRPr="007A2BD6" w:rsidRDefault="00CA51C1" w:rsidP="007A2BD6">
            <w:pPr>
              <w:contextualSpacing/>
              <w:rPr>
                <w:rFonts w:ascii="Times New Roman" w:hAnsi="Times New Roman" w:cs="Times New Roman"/>
                <w:color w:val="1A4F8C"/>
                <w:sz w:val="24"/>
                <w:szCs w:val="24"/>
                <w:u w:val="single"/>
              </w:rPr>
            </w:pPr>
          </w:p>
          <w:p w14:paraId="1821E4D4" w14:textId="77777777" w:rsidR="00CA51C1" w:rsidRPr="007A2BD6" w:rsidRDefault="00CA51C1" w:rsidP="007A2BD6">
            <w:pPr>
              <w:contextualSpacing/>
              <w:rPr>
                <w:rFonts w:ascii="Times New Roman" w:hAnsi="Times New Roman" w:cs="Times New Roman"/>
                <w:b/>
                <w:bCs/>
                <w:sz w:val="24"/>
                <w:szCs w:val="24"/>
              </w:rPr>
            </w:pPr>
            <w:r w:rsidRPr="007A2BD6">
              <w:rPr>
                <w:rFonts w:ascii="Times New Roman" w:hAnsi="Times New Roman" w:cs="Times New Roman"/>
                <w:b/>
                <w:bCs/>
                <w:sz w:val="24"/>
                <w:szCs w:val="24"/>
              </w:rPr>
              <w:t>Request for Information from DWD:</w:t>
            </w:r>
          </w:p>
          <w:p w14:paraId="67546A3C" w14:textId="77777777" w:rsidR="00CA51C1" w:rsidRPr="007A2BD6" w:rsidRDefault="00CA51C1" w:rsidP="00E038C3">
            <w:pPr>
              <w:pStyle w:val="ListParagraph"/>
              <w:numPr>
                <w:ilvl w:val="0"/>
                <w:numId w:val="22"/>
              </w:numPr>
              <w:spacing w:line="259" w:lineRule="auto"/>
              <w:rPr>
                <w:rFonts w:ascii="Times New Roman" w:hAnsi="Times New Roman"/>
                <w:sz w:val="24"/>
                <w:szCs w:val="24"/>
              </w:rPr>
            </w:pPr>
            <w:r w:rsidRPr="007A2BD6">
              <w:rPr>
                <w:rFonts w:ascii="Times New Roman" w:hAnsi="Times New Roman"/>
                <w:sz w:val="24"/>
                <w:szCs w:val="24"/>
              </w:rPr>
              <w:t>General:</w:t>
            </w:r>
          </w:p>
          <w:p w14:paraId="2C7C7C1B" w14:textId="77777777" w:rsidR="00CA51C1" w:rsidRPr="007A2BD6" w:rsidRDefault="00CA51C1" w:rsidP="00E038C3">
            <w:pPr>
              <w:pStyle w:val="ListParagraph"/>
              <w:numPr>
                <w:ilvl w:val="1"/>
                <w:numId w:val="22"/>
              </w:numPr>
              <w:spacing w:line="259" w:lineRule="auto"/>
              <w:rPr>
                <w:rFonts w:ascii="Times New Roman" w:hAnsi="Times New Roman"/>
                <w:sz w:val="24"/>
                <w:szCs w:val="24"/>
              </w:rPr>
            </w:pPr>
            <w:r w:rsidRPr="007A2BD6">
              <w:rPr>
                <w:rFonts w:ascii="Times New Roman" w:hAnsi="Times New Roman"/>
                <w:sz w:val="24"/>
                <w:szCs w:val="24"/>
              </w:rPr>
              <w:t>DWD Compliance Team members – roles and responsibilities</w:t>
            </w:r>
          </w:p>
          <w:p w14:paraId="3EB1D866" w14:textId="77777777" w:rsidR="00CA51C1" w:rsidRPr="007A2BD6" w:rsidRDefault="00CA51C1" w:rsidP="00E038C3">
            <w:pPr>
              <w:pStyle w:val="ListParagraph"/>
              <w:numPr>
                <w:ilvl w:val="1"/>
                <w:numId w:val="22"/>
              </w:numPr>
              <w:spacing w:line="259" w:lineRule="auto"/>
              <w:rPr>
                <w:rFonts w:ascii="Times New Roman" w:hAnsi="Times New Roman"/>
                <w:sz w:val="24"/>
                <w:szCs w:val="24"/>
              </w:rPr>
            </w:pPr>
            <w:r w:rsidRPr="007A2BD6">
              <w:rPr>
                <w:rFonts w:ascii="Times New Roman" w:hAnsi="Times New Roman"/>
                <w:sz w:val="24"/>
                <w:szCs w:val="24"/>
              </w:rPr>
              <w:t xml:space="preserve">Technologies – information on statewide case management system(s) and other technologies used to carry out monitoring including but not limited to: </w:t>
            </w:r>
          </w:p>
          <w:p w14:paraId="47C78A8F" w14:textId="77777777" w:rsidR="00CA51C1" w:rsidRPr="007A2BD6" w:rsidRDefault="00CA51C1" w:rsidP="00E038C3">
            <w:pPr>
              <w:pStyle w:val="ListParagraph"/>
              <w:numPr>
                <w:ilvl w:val="2"/>
                <w:numId w:val="22"/>
              </w:numPr>
              <w:spacing w:line="259" w:lineRule="auto"/>
              <w:rPr>
                <w:rFonts w:ascii="Times New Roman" w:hAnsi="Times New Roman"/>
                <w:sz w:val="24"/>
                <w:szCs w:val="24"/>
              </w:rPr>
            </w:pPr>
            <w:r w:rsidRPr="00F53E74">
              <w:rPr>
                <w:rFonts w:ascii="Times New Roman" w:hAnsi="Times New Roman"/>
                <w:sz w:val="24"/>
                <w:szCs w:val="24"/>
              </w:rPr>
              <w:t>Indiana Career Connect (ICC), INTERS, and SCSEP – Sparx</w:t>
            </w:r>
          </w:p>
          <w:p w14:paraId="4D1B710E" w14:textId="77777777" w:rsidR="00CA51C1" w:rsidRPr="007A2BD6" w:rsidRDefault="00CA51C1" w:rsidP="00E038C3">
            <w:pPr>
              <w:pStyle w:val="ListParagraph"/>
              <w:numPr>
                <w:ilvl w:val="0"/>
                <w:numId w:val="22"/>
              </w:numPr>
              <w:spacing w:after="160" w:line="259" w:lineRule="auto"/>
              <w:rPr>
                <w:rFonts w:ascii="Times New Roman" w:hAnsi="Times New Roman"/>
                <w:sz w:val="24"/>
                <w:szCs w:val="24"/>
              </w:rPr>
            </w:pPr>
            <w:r w:rsidRPr="007A2BD6">
              <w:rPr>
                <w:rFonts w:ascii="Times New Roman" w:hAnsi="Times New Roman"/>
                <w:sz w:val="24"/>
                <w:szCs w:val="24"/>
              </w:rPr>
              <w:t>Data on average timelines for each step of the monitoring process (risk assessment, desk review, field review, report, follow-up tracking and resolution).</w:t>
            </w:r>
          </w:p>
          <w:p w14:paraId="30CD0F83" w14:textId="77777777" w:rsidR="00CA51C1" w:rsidRPr="007A2BD6" w:rsidRDefault="00CA51C1" w:rsidP="00E038C3">
            <w:pPr>
              <w:pStyle w:val="ListParagraph"/>
              <w:numPr>
                <w:ilvl w:val="0"/>
                <w:numId w:val="22"/>
              </w:numPr>
              <w:spacing w:after="160" w:line="259" w:lineRule="auto"/>
              <w:rPr>
                <w:rFonts w:ascii="Times New Roman" w:hAnsi="Times New Roman"/>
                <w:sz w:val="24"/>
                <w:szCs w:val="24"/>
              </w:rPr>
            </w:pPr>
            <w:r w:rsidRPr="007A2BD6">
              <w:rPr>
                <w:rFonts w:ascii="Times New Roman" w:hAnsi="Times New Roman"/>
                <w:sz w:val="24"/>
                <w:szCs w:val="24"/>
              </w:rPr>
              <w:t>LWDA:</w:t>
            </w:r>
          </w:p>
          <w:p w14:paraId="45D8DDDF" w14:textId="77777777" w:rsidR="00CA51C1" w:rsidRPr="007A2BD6" w:rsidRDefault="00CA51C1" w:rsidP="00E038C3">
            <w:pPr>
              <w:pStyle w:val="ListParagraph"/>
              <w:numPr>
                <w:ilvl w:val="1"/>
                <w:numId w:val="22"/>
              </w:numPr>
              <w:spacing w:after="160" w:line="259" w:lineRule="auto"/>
              <w:rPr>
                <w:rFonts w:ascii="Times New Roman" w:hAnsi="Times New Roman"/>
                <w:sz w:val="24"/>
                <w:szCs w:val="24"/>
              </w:rPr>
            </w:pPr>
            <w:r w:rsidRPr="007A2BD6">
              <w:rPr>
                <w:rFonts w:ascii="Times New Roman" w:hAnsi="Times New Roman"/>
                <w:sz w:val="24"/>
                <w:szCs w:val="24"/>
              </w:rPr>
              <w:t>Office locations</w:t>
            </w:r>
          </w:p>
          <w:p w14:paraId="2BC48037" w14:textId="77777777" w:rsidR="00CA51C1" w:rsidRPr="007A2BD6" w:rsidRDefault="00CA51C1" w:rsidP="00E038C3">
            <w:pPr>
              <w:pStyle w:val="ListParagraph"/>
              <w:numPr>
                <w:ilvl w:val="1"/>
                <w:numId w:val="22"/>
              </w:numPr>
              <w:spacing w:after="160" w:line="259" w:lineRule="auto"/>
              <w:rPr>
                <w:rFonts w:ascii="Times New Roman" w:hAnsi="Times New Roman"/>
                <w:sz w:val="24"/>
                <w:szCs w:val="24"/>
              </w:rPr>
            </w:pPr>
            <w:r w:rsidRPr="007A2BD6">
              <w:rPr>
                <w:rFonts w:ascii="Times New Roman" w:hAnsi="Times New Roman"/>
                <w:sz w:val="24"/>
                <w:szCs w:val="24"/>
              </w:rPr>
              <w:t>Funding data and special grants</w:t>
            </w:r>
          </w:p>
          <w:p w14:paraId="2C778D68" w14:textId="77777777" w:rsidR="00CA51C1" w:rsidRPr="007A2BD6" w:rsidRDefault="00CA51C1" w:rsidP="00E038C3">
            <w:pPr>
              <w:pStyle w:val="ListParagraph"/>
              <w:numPr>
                <w:ilvl w:val="1"/>
                <w:numId w:val="22"/>
              </w:numPr>
              <w:spacing w:after="160" w:line="259" w:lineRule="auto"/>
              <w:rPr>
                <w:rFonts w:ascii="Times New Roman" w:hAnsi="Times New Roman"/>
                <w:sz w:val="24"/>
                <w:szCs w:val="24"/>
              </w:rPr>
            </w:pPr>
            <w:r w:rsidRPr="007A2BD6">
              <w:rPr>
                <w:rFonts w:ascii="Times New Roman" w:hAnsi="Times New Roman"/>
                <w:sz w:val="24"/>
                <w:szCs w:val="24"/>
              </w:rPr>
              <w:t>Program caseload data</w:t>
            </w:r>
          </w:p>
          <w:p w14:paraId="017896F1" w14:textId="77777777" w:rsidR="00CA51C1" w:rsidRPr="007A2BD6" w:rsidRDefault="00CA51C1" w:rsidP="00E038C3">
            <w:pPr>
              <w:pStyle w:val="ListParagraph"/>
              <w:numPr>
                <w:ilvl w:val="1"/>
                <w:numId w:val="22"/>
              </w:numPr>
              <w:spacing w:after="160" w:line="259" w:lineRule="auto"/>
              <w:rPr>
                <w:rFonts w:ascii="Times New Roman" w:hAnsi="Times New Roman"/>
                <w:sz w:val="24"/>
                <w:szCs w:val="24"/>
              </w:rPr>
            </w:pPr>
            <w:r w:rsidRPr="007A2BD6">
              <w:rPr>
                <w:rFonts w:ascii="Times New Roman" w:hAnsi="Times New Roman"/>
                <w:sz w:val="24"/>
                <w:szCs w:val="24"/>
              </w:rPr>
              <w:t>Corrective Action Plans from past three years</w:t>
            </w:r>
          </w:p>
          <w:p w14:paraId="0A434BF5" w14:textId="77777777" w:rsidR="00CA51C1" w:rsidRPr="007A2BD6" w:rsidRDefault="00CA51C1" w:rsidP="00E038C3">
            <w:pPr>
              <w:pStyle w:val="ListParagraph"/>
              <w:numPr>
                <w:ilvl w:val="0"/>
                <w:numId w:val="22"/>
              </w:numPr>
              <w:spacing w:after="160" w:line="259" w:lineRule="auto"/>
              <w:rPr>
                <w:rFonts w:ascii="Times New Roman" w:hAnsi="Times New Roman"/>
                <w:sz w:val="24"/>
                <w:szCs w:val="24"/>
              </w:rPr>
            </w:pPr>
            <w:r w:rsidRPr="007A2BD6">
              <w:rPr>
                <w:rFonts w:ascii="Times New Roman" w:hAnsi="Times New Roman"/>
                <w:sz w:val="24"/>
                <w:szCs w:val="24"/>
              </w:rPr>
              <w:t>Existing DWD Monitoring Procedures</w:t>
            </w:r>
          </w:p>
          <w:p w14:paraId="52C5B684" w14:textId="77777777" w:rsidR="00CA51C1" w:rsidRPr="007A2BD6" w:rsidRDefault="00CA51C1" w:rsidP="00E038C3">
            <w:pPr>
              <w:pStyle w:val="ListParagraph"/>
              <w:numPr>
                <w:ilvl w:val="1"/>
                <w:numId w:val="22"/>
              </w:numPr>
              <w:spacing w:after="160" w:line="259" w:lineRule="auto"/>
              <w:rPr>
                <w:rFonts w:ascii="Times New Roman" w:hAnsi="Times New Roman"/>
                <w:sz w:val="24"/>
                <w:szCs w:val="24"/>
              </w:rPr>
            </w:pPr>
            <w:r w:rsidRPr="007A2BD6">
              <w:rPr>
                <w:rFonts w:ascii="Times New Roman" w:hAnsi="Times New Roman"/>
                <w:sz w:val="24"/>
                <w:szCs w:val="24"/>
              </w:rPr>
              <w:t>Standard Operating Procedure (SOP) documents, including internal protocols and guidance provided to LWDAs</w:t>
            </w:r>
          </w:p>
          <w:p w14:paraId="7D1F220A" w14:textId="30B52778" w:rsidR="00AA365A"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Once the information and documentation are received, PCG staff will conduct a review of the documentation and develop a comprehensive inventory </w:t>
            </w:r>
            <w:r w:rsidR="00F357B6">
              <w:rPr>
                <w:rFonts w:ascii="Times New Roman" w:hAnsi="Times New Roman" w:cs="Times New Roman"/>
                <w:sz w:val="24"/>
                <w:szCs w:val="24"/>
              </w:rPr>
              <w:t xml:space="preserve">of all existing materials </w:t>
            </w:r>
            <w:r w:rsidRPr="007A2BD6">
              <w:rPr>
                <w:rFonts w:ascii="Times New Roman" w:hAnsi="Times New Roman" w:cs="Times New Roman"/>
                <w:sz w:val="24"/>
                <w:szCs w:val="24"/>
              </w:rPr>
              <w:t xml:space="preserve">that will be used to inform the project work. PCG will submit the inventory to DWD for review and feedback to help ensure all relevant documents are included. </w:t>
            </w:r>
          </w:p>
          <w:p w14:paraId="2C136CDF" w14:textId="77777777" w:rsidR="00AA365A" w:rsidRDefault="00AA365A" w:rsidP="007A2BD6">
            <w:pPr>
              <w:contextualSpacing/>
              <w:rPr>
                <w:rFonts w:ascii="Times New Roman" w:hAnsi="Times New Roman" w:cs="Times New Roman"/>
                <w:sz w:val="24"/>
                <w:szCs w:val="24"/>
              </w:rPr>
            </w:pPr>
          </w:p>
          <w:p w14:paraId="05F7DA5C" w14:textId="3B4839B1" w:rsidR="00CA51C1" w:rsidRPr="007A2BD6"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PCG will </w:t>
            </w:r>
            <w:r w:rsidR="00C403CE" w:rsidRPr="4D40F77D">
              <w:rPr>
                <w:rFonts w:ascii="Times New Roman" w:hAnsi="Times New Roman" w:cs="Times New Roman"/>
                <w:sz w:val="24"/>
                <w:szCs w:val="24"/>
              </w:rPr>
              <w:t xml:space="preserve">use the staff interviews (described in </w:t>
            </w:r>
            <w:r w:rsidR="00C403CE" w:rsidRPr="00AA65C0">
              <w:rPr>
                <w:rFonts w:ascii="Times New Roman" w:hAnsi="Times New Roman" w:cs="Times New Roman"/>
                <w:i/>
                <w:iCs/>
                <w:sz w:val="24"/>
                <w:szCs w:val="24"/>
              </w:rPr>
              <w:t>part b</w:t>
            </w:r>
            <w:r w:rsidR="00F4683D" w:rsidRPr="4D40F77D">
              <w:rPr>
                <w:rFonts w:ascii="Times New Roman" w:hAnsi="Times New Roman" w:cs="Times New Roman"/>
                <w:sz w:val="24"/>
                <w:szCs w:val="24"/>
              </w:rPr>
              <w:t xml:space="preserve"> below) and the best practice research (described in </w:t>
            </w:r>
            <w:r w:rsidR="00F4683D" w:rsidRPr="00AA65C0">
              <w:rPr>
                <w:rFonts w:ascii="Times New Roman" w:hAnsi="Times New Roman" w:cs="Times New Roman"/>
                <w:i/>
                <w:iCs/>
                <w:sz w:val="24"/>
                <w:szCs w:val="24"/>
              </w:rPr>
              <w:t>part c</w:t>
            </w:r>
            <w:r w:rsidR="00F4683D" w:rsidRPr="4D40F77D">
              <w:rPr>
                <w:rFonts w:ascii="Times New Roman" w:hAnsi="Times New Roman" w:cs="Times New Roman"/>
                <w:sz w:val="24"/>
                <w:szCs w:val="24"/>
              </w:rPr>
              <w:t xml:space="preserve"> below) to </w:t>
            </w:r>
            <w:r w:rsidR="00C55A4A" w:rsidRPr="4D40F77D">
              <w:rPr>
                <w:rFonts w:ascii="Times New Roman" w:hAnsi="Times New Roman" w:cs="Times New Roman"/>
                <w:sz w:val="24"/>
                <w:szCs w:val="24"/>
              </w:rPr>
              <w:t xml:space="preserve">help identify the strengths, gaps, and opportunities </w:t>
            </w:r>
            <w:r w:rsidR="00B00709" w:rsidRPr="4D40F77D">
              <w:rPr>
                <w:rFonts w:ascii="Times New Roman" w:hAnsi="Times New Roman" w:cs="Times New Roman"/>
                <w:sz w:val="24"/>
                <w:szCs w:val="24"/>
              </w:rPr>
              <w:t>with the existing policies</w:t>
            </w:r>
            <w:r w:rsidR="00F357B6" w:rsidRPr="4D40F77D">
              <w:rPr>
                <w:rFonts w:ascii="Times New Roman" w:hAnsi="Times New Roman" w:cs="Times New Roman"/>
                <w:sz w:val="24"/>
                <w:szCs w:val="24"/>
              </w:rPr>
              <w:t>,</w:t>
            </w:r>
            <w:r w:rsidR="00B00709" w:rsidRPr="4D40F77D">
              <w:rPr>
                <w:rFonts w:ascii="Times New Roman" w:hAnsi="Times New Roman" w:cs="Times New Roman"/>
                <w:sz w:val="24"/>
                <w:szCs w:val="24"/>
              </w:rPr>
              <w:t xml:space="preserve"> procedures</w:t>
            </w:r>
            <w:r w:rsidR="00F357B6" w:rsidRPr="4D40F77D">
              <w:rPr>
                <w:rFonts w:ascii="Times New Roman" w:hAnsi="Times New Roman" w:cs="Times New Roman"/>
                <w:sz w:val="24"/>
                <w:szCs w:val="24"/>
              </w:rPr>
              <w:t>, and tools</w:t>
            </w:r>
            <w:r w:rsidR="00B00709" w:rsidRPr="4D40F77D">
              <w:rPr>
                <w:rFonts w:ascii="Times New Roman" w:hAnsi="Times New Roman" w:cs="Times New Roman"/>
                <w:sz w:val="24"/>
                <w:szCs w:val="24"/>
              </w:rPr>
              <w:t xml:space="preserve">. The best practice research will allow PCG to </w:t>
            </w:r>
            <w:r w:rsidRPr="007A2BD6">
              <w:rPr>
                <w:rFonts w:ascii="Times New Roman" w:hAnsi="Times New Roman" w:cs="Times New Roman"/>
                <w:sz w:val="24"/>
                <w:szCs w:val="24"/>
              </w:rPr>
              <w:t>crosswalk the inventory with required tools and documentation to identify any gaps</w:t>
            </w:r>
            <w:r w:rsidR="00B00709" w:rsidRPr="4D40F77D">
              <w:rPr>
                <w:rFonts w:ascii="Times New Roman" w:hAnsi="Times New Roman" w:cs="Times New Roman"/>
                <w:sz w:val="24"/>
                <w:szCs w:val="24"/>
              </w:rPr>
              <w:t xml:space="preserve">. </w:t>
            </w:r>
            <w:r w:rsidR="00C46DFE" w:rsidRPr="4D40F77D">
              <w:rPr>
                <w:rFonts w:ascii="Times New Roman" w:hAnsi="Times New Roman" w:cs="Times New Roman"/>
                <w:sz w:val="24"/>
                <w:szCs w:val="24"/>
              </w:rPr>
              <w:t xml:space="preserve">PCG will produce </w:t>
            </w:r>
            <w:r w:rsidR="00C81109" w:rsidRPr="00AD7DAC">
              <w:rPr>
                <w:rFonts w:ascii="Times New Roman" w:hAnsi="Times New Roman" w:cs="Times New Roman"/>
                <w:b/>
                <w:bCs/>
                <w:sz w:val="24"/>
                <w:szCs w:val="24"/>
              </w:rPr>
              <w:t>Deliverable 1:</w:t>
            </w:r>
            <w:r w:rsidRPr="00AD7DAC">
              <w:rPr>
                <w:rFonts w:ascii="Times New Roman" w:hAnsi="Times New Roman" w:cs="Times New Roman"/>
                <w:b/>
                <w:bCs/>
                <w:sz w:val="24"/>
                <w:szCs w:val="24"/>
              </w:rPr>
              <w:t xml:space="preserve"> </w:t>
            </w:r>
            <w:r w:rsidR="00C81109" w:rsidRPr="00AD7DAC">
              <w:rPr>
                <w:rFonts w:ascii="Times New Roman" w:hAnsi="Times New Roman" w:cs="Times New Roman"/>
                <w:b/>
                <w:bCs/>
                <w:sz w:val="24"/>
                <w:szCs w:val="24"/>
              </w:rPr>
              <w:t xml:space="preserve">Report on </w:t>
            </w:r>
            <w:r w:rsidR="00B46CE0" w:rsidRPr="00AD7DAC">
              <w:rPr>
                <w:rFonts w:ascii="Times New Roman" w:hAnsi="Times New Roman" w:cs="Times New Roman"/>
                <w:b/>
                <w:bCs/>
                <w:sz w:val="24"/>
                <w:szCs w:val="24"/>
              </w:rPr>
              <w:t>C</w:t>
            </w:r>
            <w:r w:rsidRPr="00AD7DAC">
              <w:rPr>
                <w:rFonts w:ascii="Times New Roman" w:hAnsi="Times New Roman" w:cs="Times New Roman"/>
                <w:b/>
                <w:bCs/>
                <w:sz w:val="24"/>
                <w:szCs w:val="24"/>
              </w:rPr>
              <w:t xml:space="preserve">ompliance </w:t>
            </w:r>
            <w:r w:rsidR="00B46CE0" w:rsidRPr="00AD7DAC">
              <w:rPr>
                <w:rFonts w:ascii="Times New Roman" w:hAnsi="Times New Roman" w:cs="Times New Roman"/>
                <w:b/>
                <w:bCs/>
                <w:sz w:val="24"/>
                <w:szCs w:val="24"/>
              </w:rPr>
              <w:t>E</w:t>
            </w:r>
            <w:r w:rsidRPr="00AD7DAC">
              <w:rPr>
                <w:rFonts w:ascii="Times New Roman" w:hAnsi="Times New Roman" w:cs="Times New Roman"/>
                <w:b/>
                <w:bCs/>
                <w:sz w:val="24"/>
                <w:szCs w:val="24"/>
              </w:rPr>
              <w:t xml:space="preserve">valuation </w:t>
            </w:r>
            <w:r w:rsidR="00C81109" w:rsidRPr="00AD7DAC">
              <w:rPr>
                <w:rFonts w:ascii="Times New Roman" w:hAnsi="Times New Roman" w:cs="Times New Roman"/>
                <w:b/>
                <w:bCs/>
                <w:sz w:val="24"/>
                <w:szCs w:val="24"/>
              </w:rPr>
              <w:t>F</w:t>
            </w:r>
            <w:r w:rsidRPr="00AD7DAC">
              <w:rPr>
                <w:rFonts w:ascii="Times New Roman" w:hAnsi="Times New Roman" w:cs="Times New Roman"/>
                <w:b/>
                <w:bCs/>
                <w:sz w:val="24"/>
                <w:szCs w:val="24"/>
              </w:rPr>
              <w:t>indings</w:t>
            </w:r>
            <w:r w:rsidR="00F357B6" w:rsidRPr="4D40F77D">
              <w:rPr>
                <w:rFonts w:ascii="Times New Roman" w:hAnsi="Times New Roman" w:cs="Times New Roman"/>
                <w:sz w:val="24"/>
                <w:szCs w:val="24"/>
              </w:rPr>
              <w:t xml:space="preserve"> </w:t>
            </w:r>
            <w:r w:rsidR="004B45E0" w:rsidRPr="4D40F77D">
              <w:rPr>
                <w:rFonts w:ascii="Times New Roman" w:hAnsi="Times New Roman" w:cs="Times New Roman"/>
                <w:sz w:val="24"/>
                <w:szCs w:val="24"/>
              </w:rPr>
              <w:t xml:space="preserve">that will </w:t>
            </w:r>
            <w:r w:rsidR="00F357B6" w:rsidRPr="4D40F77D">
              <w:rPr>
                <w:rFonts w:ascii="Times New Roman" w:hAnsi="Times New Roman" w:cs="Times New Roman"/>
                <w:sz w:val="24"/>
                <w:szCs w:val="24"/>
              </w:rPr>
              <w:t xml:space="preserve">identify </w:t>
            </w:r>
            <w:r w:rsidR="008657D5" w:rsidRPr="4D40F77D">
              <w:rPr>
                <w:rFonts w:ascii="Times New Roman" w:hAnsi="Times New Roman" w:cs="Times New Roman"/>
                <w:sz w:val="24"/>
                <w:szCs w:val="24"/>
              </w:rPr>
              <w:t>gaps</w:t>
            </w:r>
            <w:r w:rsidR="00D170FA" w:rsidRPr="4D40F77D">
              <w:rPr>
                <w:rFonts w:ascii="Times New Roman" w:hAnsi="Times New Roman" w:cs="Times New Roman"/>
                <w:sz w:val="24"/>
                <w:szCs w:val="24"/>
              </w:rPr>
              <w:t xml:space="preserve"> and highlight some </w:t>
            </w:r>
            <w:r w:rsidR="002B114E" w:rsidRPr="4D40F77D">
              <w:rPr>
                <w:rFonts w:ascii="Times New Roman" w:hAnsi="Times New Roman" w:cs="Times New Roman"/>
                <w:sz w:val="24"/>
                <w:szCs w:val="24"/>
              </w:rPr>
              <w:t>best practice resources for DWD consideration. This re</w:t>
            </w:r>
            <w:r w:rsidR="00EB4131" w:rsidRPr="4D40F77D">
              <w:rPr>
                <w:rFonts w:ascii="Times New Roman" w:hAnsi="Times New Roman" w:cs="Times New Roman"/>
                <w:sz w:val="24"/>
                <w:szCs w:val="24"/>
              </w:rPr>
              <w:t xml:space="preserve">search and report will provide a foundation </w:t>
            </w:r>
            <w:r w:rsidR="00D13B7E" w:rsidRPr="4D40F77D">
              <w:rPr>
                <w:rFonts w:ascii="Times New Roman" w:hAnsi="Times New Roman" w:cs="Times New Roman"/>
                <w:sz w:val="24"/>
                <w:szCs w:val="24"/>
              </w:rPr>
              <w:t xml:space="preserve">for the </w:t>
            </w:r>
            <w:r w:rsidR="104793DB" w:rsidRPr="4D40F77D">
              <w:rPr>
                <w:rFonts w:ascii="Times New Roman" w:hAnsi="Times New Roman" w:cs="Times New Roman"/>
                <w:sz w:val="24"/>
                <w:szCs w:val="24"/>
              </w:rPr>
              <w:t xml:space="preserve">strategic plan and </w:t>
            </w:r>
            <w:r w:rsidR="00D13B7E" w:rsidRPr="4D40F77D">
              <w:rPr>
                <w:rFonts w:ascii="Times New Roman" w:hAnsi="Times New Roman" w:cs="Times New Roman"/>
                <w:sz w:val="24"/>
                <w:szCs w:val="24"/>
              </w:rPr>
              <w:t>monitoring procedure manual</w:t>
            </w:r>
            <w:r w:rsidR="001F43CC" w:rsidRPr="4D40F77D">
              <w:rPr>
                <w:rFonts w:ascii="Times New Roman" w:hAnsi="Times New Roman" w:cs="Times New Roman"/>
                <w:sz w:val="24"/>
                <w:szCs w:val="24"/>
              </w:rPr>
              <w:t xml:space="preserve"> (described in </w:t>
            </w:r>
            <w:r w:rsidR="001F43CC" w:rsidRPr="00AD7DAC">
              <w:rPr>
                <w:rFonts w:ascii="Times New Roman" w:hAnsi="Times New Roman" w:cs="Times New Roman"/>
                <w:i/>
                <w:iCs/>
                <w:sz w:val="24"/>
                <w:szCs w:val="24"/>
              </w:rPr>
              <w:t>part</w:t>
            </w:r>
            <w:r w:rsidR="696F98B1" w:rsidRPr="00AD7DAC">
              <w:rPr>
                <w:rFonts w:ascii="Times New Roman" w:hAnsi="Times New Roman" w:cs="Times New Roman"/>
                <w:i/>
                <w:iCs/>
                <w:sz w:val="24"/>
                <w:szCs w:val="24"/>
              </w:rPr>
              <w:t>s d and</w:t>
            </w:r>
            <w:r w:rsidR="001F43CC" w:rsidRPr="00AD7DAC">
              <w:rPr>
                <w:rFonts w:ascii="Times New Roman" w:hAnsi="Times New Roman" w:cs="Times New Roman"/>
                <w:i/>
                <w:iCs/>
                <w:sz w:val="24"/>
                <w:szCs w:val="24"/>
              </w:rPr>
              <w:t xml:space="preserve"> e</w:t>
            </w:r>
            <w:r w:rsidR="001F43CC" w:rsidRPr="4D40F77D">
              <w:rPr>
                <w:rFonts w:ascii="Times New Roman" w:hAnsi="Times New Roman" w:cs="Times New Roman"/>
                <w:sz w:val="24"/>
                <w:szCs w:val="24"/>
              </w:rPr>
              <w:t xml:space="preserve"> below).</w:t>
            </w:r>
          </w:p>
          <w:p w14:paraId="1080A28A" w14:textId="77777777" w:rsidR="00CA51C1" w:rsidRPr="007A2BD6" w:rsidRDefault="00CA51C1" w:rsidP="007A2BD6">
            <w:pPr>
              <w:contextualSpacing/>
              <w:rPr>
                <w:rFonts w:ascii="Times New Roman" w:hAnsi="Times New Roman" w:cs="Times New Roman"/>
                <w:sz w:val="24"/>
                <w:szCs w:val="24"/>
              </w:rPr>
            </w:pPr>
          </w:p>
          <w:p w14:paraId="31E83491" w14:textId="6B215040" w:rsidR="00CA51C1" w:rsidRPr="004F52DE" w:rsidRDefault="00CA51C1" w:rsidP="00E038C3">
            <w:pPr>
              <w:pStyle w:val="ListParagraph"/>
              <w:numPr>
                <w:ilvl w:val="1"/>
                <w:numId w:val="22"/>
              </w:numPr>
              <w:ind w:left="610"/>
              <w:rPr>
                <w:rFonts w:ascii="Times New Roman" w:hAnsi="Times New Roman"/>
                <w:bCs/>
                <w:i/>
                <w:sz w:val="24"/>
                <w:szCs w:val="24"/>
              </w:rPr>
            </w:pPr>
            <w:r w:rsidRPr="004F52DE">
              <w:rPr>
                <w:rFonts w:ascii="Times New Roman" w:hAnsi="Times New Roman"/>
                <w:bCs/>
                <w:i/>
                <w:sz w:val="24"/>
                <w:szCs w:val="24"/>
              </w:rPr>
              <w:t>Identify strengths, gaps, and opportunities via evaluation of current policies and processes</w:t>
            </w:r>
          </w:p>
          <w:p w14:paraId="34356D80" w14:textId="77777777" w:rsidR="00CA51C1" w:rsidRPr="007A2BD6" w:rsidRDefault="00CA51C1" w:rsidP="007A2BD6">
            <w:pPr>
              <w:spacing w:line="276" w:lineRule="auto"/>
              <w:ind w:left="1800"/>
              <w:contextualSpacing/>
              <w:rPr>
                <w:rFonts w:ascii="Times New Roman" w:hAnsi="Times New Roman" w:cs="Times New Roman"/>
                <w:bCs/>
                <w:iCs/>
                <w:sz w:val="24"/>
                <w:szCs w:val="24"/>
              </w:rPr>
            </w:pPr>
          </w:p>
          <w:p w14:paraId="00B6A4A4" w14:textId="58A65217"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PCG’s comprehensive review of existing documentation will be the first step in identifying strengths, gaps, and opportunities for improvement in the DWD current policies and procedures.  </w:t>
            </w:r>
            <w:r w:rsidRPr="007A2BD6">
              <w:rPr>
                <w:rFonts w:ascii="Times New Roman" w:hAnsi="Times New Roman" w:cs="Times New Roman"/>
                <w:sz w:val="24"/>
                <w:szCs w:val="24"/>
              </w:rPr>
              <w:lastRenderedPageBreak/>
              <w:t xml:space="preserve">DWD policies will be reviewed to determine compliance and alignment with the most current rules and regulations, and recommendations for modifications will be made.  </w:t>
            </w:r>
          </w:p>
          <w:p w14:paraId="7FA832D0" w14:textId="77777777" w:rsidR="00BE0966" w:rsidRPr="007A2BD6" w:rsidRDefault="00BE0966" w:rsidP="007A2BD6">
            <w:pPr>
              <w:contextualSpacing/>
              <w:rPr>
                <w:rFonts w:ascii="Times New Roman" w:hAnsi="Times New Roman" w:cs="Times New Roman"/>
                <w:sz w:val="24"/>
                <w:szCs w:val="24"/>
              </w:rPr>
            </w:pPr>
          </w:p>
          <w:p w14:paraId="79D6D295" w14:textId="77777777"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In addition to reviewing documentation, PCG will also conduct staff interviews with the DWD Compliance Team to understand the staff’s experiences and perspectives of current processes. This multifaceted approach to understanding the current state will allow PCG to get a comprehensive view of what exists, what’s working well, what’s not working well, what’s missing, and what can be improved. A sample of the types of research questions PCG will seek to answer through the review of documentation and interviews with DWD Compliance Team staff are cited below:</w:t>
            </w:r>
          </w:p>
          <w:p w14:paraId="7E15E26F" w14:textId="77777777" w:rsidR="00420931" w:rsidRPr="007A2BD6" w:rsidRDefault="00420931" w:rsidP="007A2BD6">
            <w:pPr>
              <w:contextualSpacing/>
              <w:rPr>
                <w:rFonts w:ascii="Times New Roman" w:hAnsi="Times New Roman" w:cs="Times New Roman"/>
                <w:sz w:val="24"/>
                <w:szCs w:val="24"/>
              </w:rPr>
            </w:pPr>
          </w:p>
          <w:p w14:paraId="4159A85F"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What information does DWD communicate to LWDAs related to the monitoring schedule, policies, and procedures throughout the year?</w:t>
            </w:r>
          </w:p>
          <w:p w14:paraId="279D2ED6"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What are commonly cited questions from LWDAs about DWD’s monitoring schedule, policies, and procedures?</w:t>
            </w:r>
          </w:p>
          <w:p w14:paraId="541A97EA"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 xml:space="preserve">What DWD monitoring documents and practices does DWD staff believe to be helpful to LWDAs? </w:t>
            </w:r>
          </w:p>
          <w:p w14:paraId="1B42D37D"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What gaps does DWD see in current procedures? What’s articulated clearly and what’s not?</w:t>
            </w:r>
          </w:p>
          <w:p w14:paraId="6DB80FF7"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What monitoring policies or procedures have caused confusion in the past for DWD staff or LWDAs?</w:t>
            </w:r>
          </w:p>
          <w:p w14:paraId="4949615A"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 xml:space="preserve">What components of DWD’s procedures have </w:t>
            </w:r>
            <w:r w:rsidRPr="007A2BD6">
              <w:rPr>
                <w:rFonts w:ascii="Times New Roman" w:hAnsi="Times New Roman"/>
                <w:i/>
                <w:iCs/>
                <w:sz w:val="24"/>
                <w:szCs w:val="24"/>
              </w:rPr>
              <w:t>worked well</w:t>
            </w:r>
            <w:r w:rsidRPr="007A2BD6">
              <w:rPr>
                <w:rFonts w:ascii="Times New Roman" w:hAnsi="Times New Roman"/>
                <w:sz w:val="24"/>
                <w:szCs w:val="24"/>
              </w:rPr>
              <w:t xml:space="preserve"> in recent years (for DWD staff or LWDAs)?</w:t>
            </w:r>
          </w:p>
          <w:p w14:paraId="1F28A5D2"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 xml:space="preserve">What components of DWD’s procedures have </w:t>
            </w:r>
            <w:r w:rsidRPr="007A2BD6">
              <w:rPr>
                <w:rFonts w:ascii="Times New Roman" w:hAnsi="Times New Roman"/>
                <w:i/>
                <w:iCs/>
                <w:sz w:val="24"/>
                <w:szCs w:val="24"/>
              </w:rPr>
              <w:t>been challenging</w:t>
            </w:r>
            <w:r w:rsidRPr="007A2BD6">
              <w:rPr>
                <w:rFonts w:ascii="Times New Roman" w:hAnsi="Times New Roman"/>
                <w:sz w:val="24"/>
                <w:szCs w:val="24"/>
              </w:rPr>
              <w:t xml:space="preserve"> in recent years (for DWD staff or LWDAs)?</w:t>
            </w:r>
          </w:p>
          <w:p w14:paraId="756E20E2"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What concerns (if any) does DWD have related to state policy and procedure compliance with federal requirements?</w:t>
            </w:r>
          </w:p>
          <w:p w14:paraId="1CF075C4" w14:textId="77777777" w:rsidR="00CA51C1" w:rsidRPr="007A2BD6" w:rsidRDefault="00CA51C1" w:rsidP="00E038C3">
            <w:pPr>
              <w:pStyle w:val="ListParagraph"/>
              <w:numPr>
                <w:ilvl w:val="0"/>
                <w:numId w:val="17"/>
              </w:numPr>
              <w:spacing w:after="160" w:line="259" w:lineRule="auto"/>
              <w:rPr>
                <w:rFonts w:ascii="Times New Roman" w:hAnsi="Times New Roman"/>
                <w:sz w:val="24"/>
                <w:szCs w:val="24"/>
              </w:rPr>
            </w:pPr>
            <w:r w:rsidRPr="007A2BD6">
              <w:rPr>
                <w:rFonts w:ascii="Times New Roman" w:hAnsi="Times New Roman"/>
                <w:sz w:val="24"/>
                <w:szCs w:val="24"/>
              </w:rPr>
              <w:t>What are some of the most commonly cited findings in monitoring reports from the past three years?</w:t>
            </w:r>
          </w:p>
          <w:p w14:paraId="4FE296D3" w14:textId="15D0A23F" w:rsidR="00CA51C1" w:rsidRPr="007A2BD6"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The information and feedback collected from the staff interviews will be used to help identify opportunities to make improvements to procedures and will inform the </w:t>
            </w:r>
            <w:r w:rsidR="000832ED">
              <w:rPr>
                <w:rFonts w:ascii="Times New Roman" w:hAnsi="Times New Roman" w:cs="Times New Roman"/>
                <w:sz w:val="24"/>
                <w:szCs w:val="24"/>
              </w:rPr>
              <w:t xml:space="preserve">compliance evaluation findings report, the </w:t>
            </w:r>
            <w:r w:rsidRPr="007A2BD6">
              <w:rPr>
                <w:rFonts w:ascii="Times New Roman" w:hAnsi="Times New Roman" w:cs="Times New Roman"/>
                <w:sz w:val="24"/>
                <w:szCs w:val="24"/>
              </w:rPr>
              <w:t>strategic plan</w:t>
            </w:r>
            <w:r w:rsidR="000832ED">
              <w:rPr>
                <w:rFonts w:ascii="Times New Roman" w:hAnsi="Times New Roman" w:cs="Times New Roman"/>
                <w:sz w:val="24"/>
                <w:szCs w:val="24"/>
              </w:rPr>
              <w:t>,</w:t>
            </w:r>
            <w:r w:rsidRPr="007A2BD6">
              <w:rPr>
                <w:rFonts w:ascii="Times New Roman" w:hAnsi="Times New Roman" w:cs="Times New Roman"/>
                <w:sz w:val="24"/>
                <w:szCs w:val="24"/>
              </w:rPr>
              <w:t xml:space="preserve"> and the monitoring procedure manual.</w:t>
            </w:r>
          </w:p>
          <w:p w14:paraId="3F90E65E" w14:textId="77777777" w:rsidR="00BE0966" w:rsidRDefault="00BE0966" w:rsidP="00BE0966">
            <w:pPr>
              <w:spacing w:line="276" w:lineRule="auto"/>
              <w:contextualSpacing/>
              <w:rPr>
                <w:rFonts w:ascii="Times New Roman" w:hAnsi="Times New Roman" w:cs="Times New Roman"/>
                <w:bCs/>
                <w:iCs/>
                <w:sz w:val="24"/>
                <w:szCs w:val="24"/>
              </w:rPr>
            </w:pPr>
          </w:p>
          <w:p w14:paraId="42C10674" w14:textId="1AA3943B" w:rsidR="00CA51C1" w:rsidRPr="00BE0966" w:rsidRDefault="00CA51C1" w:rsidP="00E038C3">
            <w:pPr>
              <w:pStyle w:val="ListParagraph"/>
              <w:numPr>
                <w:ilvl w:val="1"/>
                <w:numId w:val="22"/>
              </w:numPr>
              <w:ind w:left="610"/>
              <w:rPr>
                <w:rFonts w:ascii="Times New Roman" w:eastAsiaTheme="minorEastAsia" w:hAnsi="Times New Roman"/>
                <w:bCs/>
                <w:iCs/>
                <w:sz w:val="24"/>
                <w:szCs w:val="24"/>
              </w:rPr>
            </w:pPr>
            <w:r w:rsidRPr="00BE0966">
              <w:rPr>
                <w:rFonts w:ascii="Times New Roman" w:hAnsi="Times New Roman"/>
                <w:bCs/>
                <w:i/>
                <w:sz w:val="24"/>
                <w:szCs w:val="24"/>
              </w:rPr>
              <w:t>Research industry best practices in program performance evaluation and fiscal monitoring of workforce programs</w:t>
            </w:r>
          </w:p>
          <w:p w14:paraId="022155E7" w14:textId="77777777" w:rsidR="00CA51C1" w:rsidRPr="007A2BD6" w:rsidRDefault="00CA51C1" w:rsidP="007A2BD6">
            <w:pPr>
              <w:spacing w:line="276" w:lineRule="auto"/>
              <w:contextualSpacing/>
              <w:rPr>
                <w:rFonts w:ascii="Times New Roman" w:hAnsi="Times New Roman" w:cs="Times New Roman"/>
                <w:bCs/>
                <w:iCs/>
                <w:sz w:val="24"/>
                <w:szCs w:val="24"/>
              </w:rPr>
            </w:pPr>
          </w:p>
          <w:p w14:paraId="53E93684" w14:textId="77777777"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PCG will research federal guidelines and best practices in program performance evaluation and fiscal monitoring. PCG will review resources including, but not limited to the following:</w:t>
            </w:r>
          </w:p>
          <w:p w14:paraId="61DD97C1" w14:textId="77777777" w:rsidR="00C605C2" w:rsidRPr="007A2BD6" w:rsidRDefault="00C605C2" w:rsidP="007A2BD6">
            <w:pPr>
              <w:contextualSpacing/>
              <w:rPr>
                <w:rFonts w:ascii="Times New Roman" w:hAnsi="Times New Roman" w:cs="Times New Roman"/>
                <w:sz w:val="24"/>
                <w:szCs w:val="24"/>
              </w:rPr>
            </w:pPr>
          </w:p>
          <w:p w14:paraId="34DD3741" w14:textId="77777777" w:rsidR="00CA51C1" w:rsidRPr="007A2BD6" w:rsidRDefault="00CA51C1" w:rsidP="00E038C3">
            <w:pPr>
              <w:pStyle w:val="ListParagraph"/>
              <w:numPr>
                <w:ilvl w:val="0"/>
                <w:numId w:val="23"/>
              </w:numPr>
              <w:spacing w:after="160" w:line="259" w:lineRule="auto"/>
              <w:rPr>
                <w:rFonts w:ascii="Times New Roman" w:hAnsi="Times New Roman"/>
                <w:sz w:val="24"/>
                <w:szCs w:val="24"/>
              </w:rPr>
            </w:pPr>
            <w:r w:rsidRPr="007A2BD6">
              <w:rPr>
                <w:rFonts w:ascii="Times New Roman" w:hAnsi="Times New Roman"/>
                <w:sz w:val="24"/>
                <w:szCs w:val="24"/>
              </w:rPr>
              <w:t>United States Department of Labor Employment and Training Administration:</w:t>
            </w:r>
          </w:p>
          <w:p w14:paraId="259D862A"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One-Stop Comprehensive Financial Management Technical Assistance Guide</w:t>
            </w:r>
          </w:p>
          <w:p w14:paraId="2730D306"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Core Monitoring Guide</w:t>
            </w:r>
          </w:p>
          <w:p w14:paraId="171C57E3"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Framework for Monitoring and Oversight – Technical Assistance Tool</w:t>
            </w:r>
          </w:p>
          <w:p w14:paraId="3564569D" w14:textId="77777777" w:rsidR="00CA51C1" w:rsidRPr="007A2BD6" w:rsidRDefault="00CA51C1" w:rsidP="00E038C3">
            <w:pPr>
              <w:pStyle w:val="ListParagraph"/>
              <w:numPr>
                <w:ilvl w:val="0"/>
                <w:numId w:val="23"/>
              </w:numPr>
              <w:spacing w:after="160" w:line="259" w:lineRule="auto"/>
              <w:rPr>
                <w:rFonts w:ascii="Times New Roman" w:hAnsi="Times New Roman"/>
                <w:sz w:val="24"/>
                <w:szCs w:val="24"/>
              </w:rPr>
            </w:pPr>
            <w:r w:rsidRPr="007A2BD6">
              <w:rPr>
                <w:rFonts w:ascii="Times New Roman" w:hAnsi="Times New Roman"/>
                <w:sz w:val="24"/>
                <w:szCs w:val="24"/>
              </w:rPr>
              <w:t>WorkforceGPS Resources:</w:t>
            </w:r>
          </w:p>
          <w:p w14:paraId="655B92E2"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WIOA Youth Monitoring Supplement</w:t>
            </w:r>
          </w:p>
          <w:p w14:paraId="051EDDBE"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Conducting Remote Monitoring Reviews webinar</w:t>
            </w:r>
          </w:p>
          <w:p w14:paraId="0C2D7C3F"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Monitoring Resources from various states</w:t>
            </w:r>
          </w:p>
          <w:p w14:paraId="48043588" w14:textId="77777777" w:rsidR="00CA51C1" w:rsidRPr="007A2BD6" w:rsidRDefault="00CA51C1" w:rsidP="00E038C3">
            <w:pPr>
              <w:pStyle w:val="ListParagraph"/>
              <w:numPr>
                <w:ilvl w:val="1"/>
                <w:numId w:val="23"/>
              </w:numPr>
              <w:spacing w:after="160" w:line="259" w:lineRule="auto"/>
              <w:rPr>
                <w:rFonts w:ascii="Times New Roman" w:hAnsi="Times New Roman"/>
                <w:sz w:val="24"/>
                <w:szCs w:val="24"/>
              </w:rPr>
            </w:pPr>
            <w:r w:rsidRPr="007A2BD6">
              <w:rPr>
                <w:rFonts w:ascii="Times New Roman" w:hAnsi="Times New Roman"/>
                <w:sz w:val="24"/>
                <w:szCs w:val="24"/>
              </w:rPr>
              <w:t>Building Effective State Program Monitoring Systems</w:t>
            </w:r>
          </w:p>
          <w:p w14:paraId="64868888" w14:textId="77777777" w:rsidR="00CA51C1" w:rsidRPr="007A2BD6" w:rsidRDefault="00CA51C1" w:rsidP="00E038C3">
            <w:pPr>
              <w:pStyle w:val="ListParagraph"/>
              <w:numPr>
                <w:ilvl w:val="0"/>
                <w:numId w:val="23"/>
              </w:numPr>
              <w:spacing w:line="259" w:lineRule="auto"/>
              <w:rPr>
                <w:rFonts w:ascii="Times New Roman" w:hAnsi="Times New Roman"/>
                <w:sz w:val="24"/>
                <w:szCs w:val="24"/>
              </w:rPr>
            </w:pPr>
            <w:r w:rsidRPr="007A2BD6">
              <w:rPr>
                <w:rFonts w:ascii="Times New Roman" w:hAnsi="Times New Roman"/>
                <w:sz w:val="24"/>
                <w:szCs w:val="24"/>
              </w:rPr>
              <w:lastRenderedPageBreak/>
              <w:t xml:space="preserve">United States Chief Financial Officers Council (CFO) – Uniform Guidance: Promising Practices in Implementation </w:t>
            </w:r>
          </w:p>
          <w:p w14:paraId="1830B95A" w14:textId="5A8BEE43" w:rsidR="00CA51C1" w:rsidRDefault="00CA51C1" w:rsidP="00E038C3">
            <w:pPr>
              <w:pStyle w:val="BioMainText"/>
              <w:numPr>
                <w:ilvl w:val="0"/>
                <w:numId w:val="23"/>
              </w:numPr>
              <w:contextualSpacing/>
              <w:rPr>
                <w:rFonts w:ascii="Times New Roman" w:hAnsi="Times New Roman" w:cs="Times New Roman"/>
                <w:sz w:val="24"/>
                <w:szCs w:val="24"/>
              </w:rPr>
            </w:pPr>
            <w:r w:rsidRPr="007A2BD6">
              <w:rPr>
                <w:rFonts w:ascii="Times New Roman" w:hAnsi="Times New Roman" w:cs="Times New Roman"/>
                <w:sz w:val="24"/>
                <w:szCs w:val="24"/>
              </w:rPr>
              <w:t>78 FR 78589 - Uniform Administrative Requirements, Cost Principles, and Audit Requirements for Federal Awards</w:t>
            </w:r>
          </w:p>
          <w:p w14:paraId="4540766D" w14:textId="77777777" w:rsidR="006331CA" w:rsidRPr="007A2BD6" w:rsidRDefault="006331CA" w:rsidP="006331CA">
            <w:pPr>
              <w:pStyle w:val="BioMainText"/>
              <w:ind w:left="720"/>
              <w:contextualSpacing/>
              <w:rPr>
                <w:rFonts w:ascii="Times New Roman" w:hAnsi="Times New Roman" w:cs="Times New Roman"/>
                <w:sz w:val="24"/>
                <w:szCs w:val="24"/>
              </w:rPr>
            </w:pPr>
          </w:p>
          <w:p w14:paraId="20437369" w14:textId="550C17A0"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In addition to the research described above, PCG will draw from experience conducting programmatic and fiscal monitoring of multiple government agencies in nine states to inform and direct best practice research. The PCG team will review publicly available procedures and monitoring tools from other states and compare them to DWD’s procedures and tools. This research will help identify opportunities and inform improvements that can be made to DWD’s procedures and tools. </w:t>
            </w:r>
          </w:p>
          <w:p w14:paraId="4BF341C5" w14:textId="77777777" w:rsidR="006331CA" w:rsidRPr="007A2BD6" w:rsidRDefault="006331CA" w:rsidP="007A2BD6">
            <w:pPr>
              <w:contextualSpacing/>
              <w:rPr>
                <w:rFonts w:ascii="Times New Roman" w:hAnsi="Times New Roman" w:cs="Times New Roman"/>
                <w:sz w:val="24"/>
                <w:szCs w:val="24"/>
              </w:rPr>
            </w:pPr>
          </w:p>
          <w:p w14:paraId="56AF4215" w14:textId="6FBC69F3"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PCG will specifically look to identify states that have streamlined processes that are communicated in easy-to-follow formats and simplified monitoring tools with standards that adhere to the federal and state rules. The information learned from this research, including tools and language gathered, will be used to inform the contents </w:t>
            </w:r>
            <w:r w:rsidR="009D1049">
              <w:rPr>
                <w:rFonts w:ascii="Times New Roman" w:hAnsi="Times New Roman" w:cs="Times New Roman"/>
                <w:sz w:val="24"/>
                <w:szCs w:val="24"/>
              </w:rPr>
              <w:t>of the compliance evaluation findings report</w:t>
            </w:r>
            <w:r w:rsidR="000832ED">
              <w:rPr>
                <w:rFonts w:ascii="Times New Roman" w:hAnsi="Times New Roman" w:cs="Times New Roman"/>
                <w:sz w:val="24"/>
                <w:szCs w:val="24"/>
              </w:rPr>
              <w:t xml:space="preserve">, </w:t>
            </w:r>
            <w:r w:rsidRPr="007A2BD6">
              <w:rPr>
                <w:rFonts w:ascii="Times New Roman" w:hAnsi="Times New Roman" w:cs="Times New Roman"/>
                <w:sz w:val="24"/>
                <w:szCs w:val="24"/>
              </w:rPr>
              <w:t>the strategic plan</w:t>
            </w:r>
            <w:r w:rsidR="000832ED">
              <w:rPr>
                <w:rFonts w:ascii="Times New Roman" w:hAnsi="Times New Roman" w:cs="Times New Roman"/>
                <w:sz w:val="24"/>
                <w:szCs w:val="24"/>
              </w:rPr>
              <w:t>,</w:t>
            </w:r>
            <w:r w:rsidRPr="007A2BD6">
              <w:rPr>
                <w:rFonts w:ascii="Times New Roman" w:hAnsi="Times New Roman" w:cs="Times New Roman"/>
                <w:sz w:val="24"/>
                <w:szCs w:val="24"/>
              </w:rPr>
              <w:t xml:space="preserve"> and </w:t>
            </w:r>
            <w:r w:rsidR="009D1049">
              <w:rPr>
                <w:rFonts w:ascii="Times New Roman" w:hAnsi="Times New Roman" w:cs="Times New Roman"/>
                <w:sz w:val="24"/>
                <w:szCs w:val="24"/>
              </w:rPr>
              <w:t>the</w:t>
            </w:r>
            <w:r w:rsidRPr="007A2BD6">
              <w:rPr>
                <w:rFonts w:ascii="Times New Roman" w:hAnsi="Times New Roman" w:cs="Times New Roman"/>
                <w:sz w:val="24"/>
                <w:szCs w:val="24"/>
              </w:rPr>
              <w:t xml:space="preserve"> monitoring procedure manual.</w:t>
            </w:r>
          </w:p>
          <w:p w14:paraId="7DC39A5C" w14:textId="77777777" w:rsidR="006331CA" w:rsidRPr="007A2BD6" w:rsidRDefault="006331CA" w:rsidP="007A2BD6">
            <w:pPr>
              <w:contextualSpacing/>
              <w:rPr>
                <w:rFonts w:ascii="Times New Roman" w:hAnsi="Times New Roman" w:cs="Times New Roman"/>
                <w:sz w:val="24"/>
                <w:szCs w:val="24"/>
              </w:rPr>
            </w:pPr>
          </w:p>
          <w:p w14:paraId="1C870FA6" w14:textId="77777777" w:rsidR="00CA51C1" w:rsidRPr="006331CA" w:rsidRDefault="00CA51C1" w:rsidP="00E038C3">
            <w:pPr>
              <w:numPr>
                <w:ilvl w:val="1"/>
                <w:numId w:val="22"/>
              </w:numPr>
              <w:spacing w:line="276" w:lineRule="auto"/>
              <w:ind w:left="610"/>
              <w:contextualSpacing/>
              <w:rPr>
                <w:rFonts w:ascii="Times New Roman" w:hAnsi="Times New Roman" w:cs="Times New Roman"/>
                <w:bCs/>
                <w:i/>
                <w:sz w:val="24"/>
                <w:szCs w:val="24"/>
              </w:rPr>
            </w:pPr>
            <w:r w:rsidRPr="006331CA">
              <w:rPr>
                <w:rFonts w:ascii="Times New Roman" w:hAnsi="Times New Roman" w:cs="Times New Roman"/>
                <w:bCs/>
                <w:i/>
                <w:sz w:val="24"/>
                <w:szCs w:val="24"/>
              </w:rPr>
              <w:t xml:space="preserve">Develop, in conjunction with the DWD Compliance Team, a comprehensive DWD Compliance Strategic Plan that will ensure continuous quality improvement and align with project tasks identified in the scope of work. </w:t>
            </w:r>
          </w:p>
          <w:p w14:paraId="04701BFD" w14:textId="77777777" w:rsidR="00CA51C1" w:rsidRPr="007A2BD6" w:rsidRDefault="00CA51C1" w:rsidP="007A2BD6">
            <w:pPr>
              <w:contextualSpacing/>
              <w:rPr>
                <w:rFonts w:ascii="Times New Roman" w:hAnsi="Times New Roman" w:cs="Times New Roman"/>
                <w:sz w:val="24"/>
                <w:szCs w:val="24"/>
              </w:rPr>
            </w:pPr>
          </w:p>
          <w:p w14:paraId="5BEE73BA" w14:textId="77777777" w:rsidR="00CA51C1" w:rsidRPr="007A2BD6"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PCG’s approach to working with DWD to develop a strategic plan is described below and organized into three phases:</w:t>
            </w:r>
          </w:p>
          <w:p w14:paraId="65DA96F6" w14:textId="77777777" w:rsidR="00CA51C1" w:rsidRPr="007A2BD6" w:rsidRDefault="00CA51C1" w:rsidP="00E038C3">
            <w:pPr>
              <w:pStyle w:val="ListParagraph"/>
              <w:numPr>
                <w:ilvl w:val="0"/>
                <w:numId w:val="20"/>
              </w:numPr>
              <w:spacing w:after="160" w:line="259" w:lineRule="auto"/>
              <w:rPr>
                <w:rFonts w:ascii="Times New Roman" w:hAnsi="Times New Roman"/>
                <w:sz w:val="24"/>
                <w:szCs w:val="24"/>
              </w:rPr>
            </w:pPr>
            <w:r w:rsidRPr="007A2BD6">
              <w:rPr>
                <w:rFonts w:ascii="Times New Roman" w:hAnsi="Times New Roman"/>
                <w:sz w:val="24"/>
                <w:szCs w:val="24"/>
              </w:rPr>
              <w:t>Frame Up</w:t>
            </w:r>
          </w:p>
          <w:p w14:paraId="0DDE46E5" w14:textId="77777777" w:rsidR="00CA51C1" w:rsidRPr="007A2BD6" w:rsidRDefault="00CA51C1" w:rsidP="00E038C3">
            <w:pPr>
              <w:pStyle w:val="ListParagraph"/>
              <w:numPr>
                <w:ilvl w:val="0"/>
                <w:numId w:val="20"/>
              </w:numPr>
              <w:spacing w:after="160" w:line="259" w:lineRule="auto"/>
              <w:rPr>
                <w:rFonts w:ascii="Times New Roman" w:hAnsi="Times New Roman"/>
                <w:sz w:val="24"/>
                <w:szCs w:val="24"/>
              </w:rPr>
            </w:pPr>
            <w:r w:rsidRPr="007A2BD6">
              <w:rPr>
                <w:rFonts w:ascii="Times New Roman" w:hAnsi="Times New Roman"/>
                <w:sz w:val="24"/>
                <w:szCs w:val="24"/>
              </w:rPr>
              <w:t>Facilitate</w:t>
            </w:r>
          </w:p>
          <w:p w14:paraId="23526568" w14:textId="77777777" w:rsidR="00CA51C1" w:rsidRPr="007A2BD6" w:rsidRDefault="00CA51C1" w:rsidP="00E038C3">
            <w:pPr>
              <w:pStyle w:val="ListParagraph"/>
              <w:numPr>
                <w:ilvl w:val="0"/>
                <w:numId w:val="20"/>
              </w:numPr>
              <w:spacing w:after="160" w:line="259" w:lineRule="auto"/>
              <w:rPr>
                <w:rFonts w:ascii="Times New Roman" w:hAnsi="Times New Roman"/>
                <w:sz w:val="24"/>
                <w:szCs w:val="24"/>
              </w:rPr>
            </w:pPr>
            <w:r w:rsidRPr="007A2BD6">
              <w:rPr>
                <w:rFonts w:ascii="Times New Roman" w:hAnsi="Times New Roman"/>
                <w:sz w:val="24"/>
                <w:szCs w:val="24"/>
              </w:rPr>
              <w:t>Iterate</w:t>
            </w:r>
          </w:p>
          <w:p w14:paraId="343BC968" w14:textId="24CE6614" w:rsidR="004521DA" w:rsidRPr="007A2BD6" w:rsidRDefault="00CA51C1" w:rsidP="007A2BD6">
            <w:pPr>
              <w:contextualSpacing/>
              <w:rPr>
                <w:rFonts w:ascii="Times New Roman" w:hAnsi="Times New Roman" w:cs="Times New Roman"/>
                <w:b/>
                <w:bCs/>
                <w:sz w:val="24"/>
                <w:szCs w:val="24"/>
              </w:rPr>
            </w:pPr>
            <w:r w:rsidRPr="007A2BD6">
              <w:rPr>
                <w:rFonts w:ascii="Times New Roman" w:hAnsi="Times New Roman" w:cs="Times New Roman"/>
                <w:b/>
                <w:bCs/>
                <w:sz w:val="24"/>
                <w:szCs w:val="24"/>
              </w:rPr>
              <w:t>Phase I - Frame Up:</w:t>
            </w:r>
          </w:p>
          <w:p w14:paraId="161E9D7E" w14:textId="2B4F02CB"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At the outset of the project, PCG will ask about any concerns, strengths, and areas of note coming into the planning process. </w:t>
            </w:r>
            <w:r w:rsidRPr="4D40F77D">
              <w:rPr>
                <w:rFonts w:ascii="Times New Roman" w:hAnsi="Times New Roman" w:cs="Times New Roman"/>
                <w:sz w:val="24"/>
                <w:szCs w:val="24"/>
              </w:rPr>
              <w:t xml:space="preserve">The </w:t>
            </w:r>
            <w:r w:rsidR="364205ED" w:rsidRPr="4D40F77D">
              <w:rPr>
                <w:rFonts w:ascii="Times New Roman" w:hAnsi="Times New Roman" w:cs="Times New Roman"/>
                <w:sz w:val="24"/>
                <w:szCs w:val="24"/>
              </w:rPr>
              <w:t>compliance evaluation findings report,</w:t>
            </w:r>
            <w:r w:rsidRPr="007A2BD6">
              <w:rPr>
                <w:rFonts w:ascii="Times New Roman" w:hAnsi="Times New Roman" w:cs="Times New Roman"/>
                <w:sz w:val="24"/>
                <w:szCs w:val="24"/>
              </w:rPr>
              <w:t xml:space="preserve"> staff interviews, and </w:t>
            </w:r>
            <w:r w:rsidR="39AC9C5E" w:rsidRPr="4D40F77D">
              <w:rPr>
                <w:rFonts w:ascii="Times New Roman" w:hAnsi="Times New Roman" w:cs="Times New Roman"/>
                <w:sz w:val="24"/>
                <w:szCs w:val="24"/>
              </w:rPr>
              <w:t xml:space="preserve">best practice research </w:t>
            </w:r>
            <w:r w:rsidRPr="4D40F77D">
              <w:rPr>
                <w:rFonts w:ascii="Times New Roman" w:hAnsi="Times New Roman" w:cs="Times New Roman"/>
                <w:sz w:val="24"/>
                <w:szCs w:val="24"/>
              </w:rPr>
              <w:t>will inform the plan.</w:t>
            </w:r>
            <w:r w:rsidRPr="007A2BD6">
              <w:rPr>
                <w:rFonts w:ascii="Times New Roman" w:hAnsi="Times New Roman" w:cs="Times New Roman"/>
                <w:sz w:val="24"/>
                <w:szCs w:val="24"/>
              </w:rPr>
              <w:t xml:space="preserve"> PCG’s review of written materials will help our team ramp up to DWD’s current capacity, charge, structure, culture, and constraints. PCG will ask DWD to identify a team of staff and stakeholders to take part in the strategic planning process and to participate in visioning sessions.</w:t>
            </w:r>
          </w:p>
          <w:p w14:paraId="2A3CB5CD" w14:textId="77777777" w:rsidR="004521DA" w:rsidRPr="007A2BD6" w:rsidRDefault="004521DA" w:rsidP="007A2BD6">
            <w:pPr>
              <w:contextualSpacing/>
              <w:rPr>
                <w:rFonts w:ascii="Times New Roman" w:hAnsi="Times New Roman" w:cs="Times New Roman"/>
                <w:sz w:val="24"/>
                <w:szCs w:val="24"/>
              </w:rPr>
            </w:pPr>
          </w:p>
          <w:p w14:paraId="2F8C9D0D" w14:textId="77777777" w:rsidR="00CA51C1" w:rsidRPr="007A2BD6" w:rsidRDefault="00CA51C1" w:rsidP="007A2BD6">
            <w:pPr>
              <w:contextualSpacing/>
              <w:rPr>
                <w:rFonts w:ascii="Times New Roman" w:hAnsi="Times New Roman" w:cs="Times New Roman"/>
                <w:b/>
                <w:bCs/>
                <w:sz w:val="24"/>
                <w:szCs w:val="24"/>
              </w:rPr>
            </w:pPr>
            <w:r w:rsidRPr="007A2BD6">
              <w:rPr>
                <w:rFonts w:ascii="Times New Roman" w:hAnsi="Times New Roman" w:cs="Times New Roman"/>
                <w:b/>
                <w:bCs/>
                <w:sz w:val="24"/>
                <w:szCs w:val="24"/>
              </w:rPr>
              <w:t>Phase II - Facilitate:</w:t>
            </w:r>
          </w:p>
          <w:p w14:paraId="4071D0FE" w14:textId="77777777" w:rsidR="00CA51C1" w:rsidRPr="007A2BD6"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Following the initial information gathering, PCG will conduct up to two virtual strategic planning visioning sessions with the DWD Compliance Team and other appropriate stakeholders. The purpose of the visioning sessions will be to understand DWD’s goals for compliance and continuous improvement. The sessions will be guided by questions including, but not limited to, the following:</w:t>
            </w:r>
          </w:p>
          <w:p w14:paraId="696B6EDF" w14:textId="77777777" w:rsidR="00CA51C1" w:rsidRPr="007A2BD6" w:rsidRDefault="00CA51C1" w:rsidP="00E038C3">
            <w:pPr>
              <w:pStyle w:val="ListParagraph"/>
              <w:numPr>
                <w:ilvl w:val="0"/>
                <w:numId w:val="18"/>
              </w:numPr>
              <w:spacing w:after="160" w:line="259" w:lineRule="auto"/>
              <w:rPr>
                <w:rFonts w:ascii="Times New Roman" w:hAnsi="Times New Roman"/>
                <w:sz w:val="24"/>
                <w:szCs w:val="24"/>
              </w:rPr>
            </w:pPr>
            <w:r w:rsidRPr="007A2BD6">
              <w:rPr>
                <w:rFonts w:ascii="Times New Roman" w:hAnsi="Times New Roman"/>
                <w:sz w:val="24"/>
                <w:szCs w:val="24"/>
              </w:rPr>
              <w:t>What is DWD’s vision and mission, as it relates to compliance?</w:t>
            </w:r>
          </w:p>
          <w:p w14:paraId="59894F9B" w14:textId="77777777" w:rsidR="00CA51C1" w:rsidRPr="007A2BD6" w:rsidRDefault="00CA51C1" w:rsidP="00E038C3">
            <w:pPr>
              <w:pStyle w:val="ListParagraph"/>
              <w:numPr>
                <w:ilvl w:val="0"/>
                <w:numId w:val="18"/>
              </w:numPr>
              <w:spacing w:after="160" w:line="259" w:lineRule="auto"/>
              <w:rPr>
                <w:rFonts w:ascii="Times New Roman" w:hAnsi="Times New Roman"/>
                <w:sz w:val="24"/>
                <w:szCs w:val="24"/>
              </w:rPr>
            </w:pPr>
            <w:r w:rsidRPr="007A2BD6">
              <w:rPr>
                <w:rFonts w:ascii="Times New Roman" w:hAnsi="Times New Roman"/>
                <w:sz w:val="24"/>
                <w:szCs w:val="24"/>
              </w:rPr>
              <w:t>What are the strategic priorities of the DWD Compliance Team?</w:t>
            </w:r>
          </w:p>
          <w:p w14:paraId="03BFCB0C" w14:textId="77777777" w:rsidR="00CA51C1" w:rsidRPr="007A2BD6" w:rsidRDefault="00CA51C1" w:rsidP="00E038C3">
            <w:pPr>
              <w:pStyle w:val="ListParagraph"/>
              <w:numPr>
                <w:ilvl w:val="0"/>
                <w:numId w:val="18"/>
              </w:numPr>
              <w:spacing w:after="160" w:line="259" w:lineRule="auto"/>
              <w:rPr>
                <w:rFonts w:ascii="Times New Roman" w:hAnsi="Times New Roman"/>
                <w:sz w:val="24"/>
                <w:szCs w:val="24"/>
              </w:rPr>
            </w:pPr>
            <w:r w:rsidRPr="007A2BD6">
              <w:rPr>
                <w:rFonts w:ascii="Times New Roman" w:hAnsi="Times New Roman"/>
                <w:sz w:val="24"/>
                <w:szCs w:val="24"/>
              </w:rPr>
              <w:t xml:space="preserve">What are the DWD Compliance Team’s benchmarks for success? </w:t>
            </w:r>
          </w:p>
          <w:p w14:paraId="6FDD47C0" w14:textId="77777777" w:rsidR="00CA51C1" w:rsidRPr="007A2BD6" w:rsidRDefault="00CA51C1" w:rsidP="00E038C3">
            <w:pPr>
              <w:pStyle w:val="ListParagraph"/>
              <w:numPr>
                <w:ilvl w:val="0"/>
                <w:numId w:val="18"/>
              </w:numPr>
              <w:spacing w:after="160" w:line="259" w:lineRule="auto"/>
              <w:rPr>
                <w:rFonts w:ascii="Times New Roman" w:hAnsi="Times New Roman"/>
                <w:sz w:val="24"/>
                <w:szCs w:val="24"/>
              </w:rPr>
            </w:pPr>
            <w:r w:rsidRPr="007A2BD6">
              <w:rPr>
                <w:rFonts w:ascii="Times New Roman" w:hAnsi="Times New Roman"/>
                <w:sz w:val="24"/>
                <w:szCs w:val="24"/>
              </w:rPr>
              <w:t>Who are the key stakeholders involved in implementing the strategic plan?</w:t>
            </w:r>
          </w:p>
          <w:p w14:paraId="0D46FE1C" w14:textId="77777777" w:rsidR="004521DA" w:rsidRDefault="00CA51C1" w:rsidP="00E038C3">
            <w:pPr>
              <w:pStyle w:val="ListParagraph"/>
              <w:numPr>
                <w:ilvl w:val="0"/>
                <w:numId w:val="18"/>
              </w:numPr>
              <w:spacing w:line="259" w:lineRule="auto"/>
              <w:rPr>
                <w:rFonts w:ascii="Times New Roman" w:hAnsi="Times New Roman"/>
                <w:sz w:val="24"/>
                <w:szCs w:val="24"/>
              </w:rPr>
            </w:pPr>
            <w:r w:rsidRPr="007A2BD6">
              <w:rPr>
                <w:rFonts w:ascii="Times New Roman" w:hAnsi="Times New Roman"/>
                <w:sz w:val="24"/>
                <w:szCs w:val="24"/>
              </w:rPr>
              <w:t>What are the key dates and timelines associated with compliance activities?</w:t>
            </w:r>
          </w:p>
          <w:p w14:paraId="3DE4CB21" w14:textId="49709276" w:rsidR="00653003" w:rsidRPr="00B13F92" w:rsidRDefault="0018128D" w:rsidP="00B13F92">
            <w:pPr>
              <w:pStyle w:val="ListParagraph"/>
              <w:numPr>
                <w:ilvl w:val="0"/>
                <w:numId w:val="18"/>
              </w:numPr>
              <w:spacing w:line="259" w:lineRule="auto"/>
              <w:rPr>
                <w:rFonts w:ascii="Times New Roman" w:hAnsi="Times New Roman"/>
                <w:sz w:val="24"/>
                <w:szCs w:val="24"/>
              </w:rPr>
            </w:pPr>
            <w:r w:rsidRPr="00B13F92">
              <w:rPr>
                <w:rFonts w:ascii="Times New Roman" w:hAnsi="Times New Roman"/>
                <w:sz w:val="24"/>
                <w:szCs w:val="24"/>
              </w:rPr>
              <w:t>What strategies can DWD implement to establish a common oversight theme across programs</w:t>
            </w:r>
            <w:r w:rsidR="00653003" w:rsidRPr="00B13F92">
              <w:rPr>
                <w:rFonts w:ascii="Times New Roman" w:hAnsi="Times New Roman"/>
                <w:sz w:val="24"/>
                <w:szCs w:val="24"/>
              </w:rPr>
              <w:t xml:space="preserve"> </w:t>
            </w:r>
            <w:r w:rsidR="00653003" w:rsidRPr="00B13F92">
              <w:rPr>
                <w:rFonts w:ascii="Times New Roman" w:hAnsi="Times New Roman"/>
              </w:rPr>
              <w:t>(e.g., streamlining report and resolution processes)</w:t>
            </w:r>
            <w:r w:rsidR="00933340">
              <w:rPr>
                <w:rFonts w:ascii="Times New Roman" w:hAnsi="Times New Roman"/>
              </w:rPr>
              <w:t>?</w:t>
            </w:r>
          </w:p>
          <w:p w14:paraId="70AFF4EB" w14:textId="34FF4A1D" w:rsidR="0018128D" w:rsidRDefault="002D6CE7" w:rsidP="00E038C3">
            <w:pPr>
              <w:pStyle w:val="ListParagraph"/>
              <w:numPr>
                <w:ilvl w:val="0"/>
                <w:numId w:val="18"/>
              </w:numPr>
              <w:spacing w:line="259" w:lineRule="auto"/>
              <w:rPr>
                <w:rFonts w:ascii="Times New Roman" w:hAnsi="Times New Roman"/>
                <w:sz w:val="24"/>
                <w:szCs w:val="24"/>
              </w:rPr>
            </w:pPr>
            <w:r>
              <w:rPr>
                <w:rFonts w:ascii="Times New Roman" w:hAnsi="Times New Roman"/>
                <w:sz w:val="24"/>
                <w:szCs w:val="24"/>
              </w:rPr>
              <w:lastRenderedPageBreak/>
              <w:t>W</w:t>
            </w:r>
            <w:r w:rsidR="006418B0">
              <w:rPr>
                <w:rFonts w:ascii="Times New Roman" w:hAnsi="Times New Roman"/>
                <w:sz w:val="24"/>
                <w:szCs w:val="24"/>
              </w:rPr>
              <w:t xml:space="preserve">hat </w:t>
            </w:r>
            <w:r w:rsidR="003C619D">
              <w:rPr>
                <w:rFonts w:ascii="Times New Roman" w:hAnsi="Times New Roman"/>
                <w:sz w:val="24"/>
                <w:szCs w:val="24"/>
              </w:rPr>
              <w:t>are the considerations for the development of a scheduling plan (e.g.</w:t>
            </w:r>
            <w:r w:rsidR="00EF6A55">
              <w:rPr>
                <w:rFonts w:ascii="Times New Roman" w:hAnsi="Times New Roman"/>
                <w:sz w:val="24"/>
                <w:szCs w:val="24"/>
              </w:rPr>
              <w:t>, concurrent/combined monitoring and frequency)?</w:t>
            </w:r>
          </w:p>
          <w:p w14:paraId="2DC94E85" w14:textId="77777777" w:rsidR="00124025" w:rsidRDefault="004520E3" w:rsidP="00E038C3">
            <w:pPr>
              <w:pStyle w:val="ListParagraph"/>
              <w:numPr>
                <w:ilvl w:val="0"/>
                <w:numId w:val="18"/>
              </w:numPr>
              <w:spacing w:line="259" w:lineRule="auto"/>
              <w:rPr>
                <w:rFonts w:ascii="Times New Roman" w:hAnsi="Times New Roman"/>
                <w:sz w:val="24"/>
                <w:szCs w:val="24"/>
              </w:rPr>
            </w:pPr>
            <w:r>
              <w:rPr>
                <w:rFonts w:ascii="Times New Roman" w:hAnsi="Times New Roman"/>
                <w:sz w:val="24"/>
                <w:szCs w:val="24"/>
              </w:rPr>
              <w:t>What efficiencies can be gained</w:t>
            </w:r>
            <w:r w:rsidR="00F45D58">
              <w:rPr>
                <w:rFonts w:ascii="Times New Roman" w:hAnsi="Times New Roman"/>
                <w:sz w:val="24"/>
                <w:szCs w:val="24"/>
              </w:rPr>
              <w:t xml:space="preserve"> from </w:t>
            </w:r>
            <w:r w:rsidR="00E82DA1">
              <w:rPr>
                <w:rFonts w:ascii="Times New Roman" w:hAnsi="Times New Roman"/>
                <w:sz w:val="24"/>
                <w:szCs w:val="24"/>
              </w:rPr>
              <w:t xml:space="preserve">different approaches to </w:t>
            </w:r>
            <w:r w:rsidR="007D500F">
              <w:rPr>
                <w:rFonts w:ascii="Times New Roman" w:hAnsi="Times New Roman"/>
                <w:sz w:val="24"/>
                <w:szCs w:val="24"/>
              </w:rPr>
              <w:t>the monitoring schedule and process (</w:t>
            </w:r>
            <w:r w:rsidR="00BA6A7C">
              <w:rPr>
                <w:rFonts w:ascii="Times New Roman" w:hAnsi="Times New Roman"/>
                <w:sz w:val="24"/>
                <w:szCs w:val="24"/>
              </w:rPr>
              <w:t>e.g., cluster monitoring with multiple programs on a smaller scale but with higher frequency, desk review v. on-site review, secure document submission procedures, etc.)</w:t>
            </w:r>
            <w:r w:rsidR="00124025">
              <w:rPr>
                <w:rFonts w:ascii="Times New Roman" w:hAnsi="Times New Roman"/>
                <w:sz w:val="24"/>
                <w:szCs w:val="24"/>
              </w:rPr>
              <w:t>?</w:t>
            </w:r>
          </w:p>
          <w:p w14:paraId="76140DFD" w14:textId="2611F1AB" w:rsidR="005D1BAC" w:rsidRDefault="00EC70BF" w:rsidP="005D1BAC">
            <w:pPr>
              <w:pStyle w:val="ListParagraph"/>
              <w:numPr>
                <w:ilvl w:val="0"/>
                <w:numId w:val="18"/>
              </w:numPr>
              <w:spacing w:line="259" w:lineRule="auto"/>
              <w:rPr>
                <w:rFonts w:ascii="Times New Roman" w:hAnsi="Times New Roman"/>
                <w:sz w:val="24"/>
                <w:szCs w:val="24"/>
              </w:rPr>
            </w:pPr>
            <w:r>
              <w:rPr>
                <w:rFonts w:ascii="Times New Roman" w:hAnsi="Times New Roman"/>
                <w:sz w:val="24"/>
                <w:szCs w:val="24"/>
              </w:rPr>
              <w:t>How can internal communication be improved with a goal of identifying compliance issues in a timely manner</w:t>
            </w:r>
            <w:r w:rsidR="005D1BAC">
              <w:rPr>
                <w:rFonts w:ascii="Times New Roman" w:hAnsi="Times New Roman"/>
                <w:sz w:val="24"/>
                <w:szCs w:val="24"/>
              </w:rPr>
              <w:t xml:space="preserve"> (e.g., improving subject matter expert feedback to Compliance Team prior to Grantee monitoring)?</w:t>
            </w:r>
          </w:p>
          <w:p w14:paraId="5F89B948" w14:textId="63E37B23" w:rsidR="00933340" w:rsidRPr="005D1BAC" w:rsidRDefault="00A64473" w:rsidP="005D1BAC">
            <w:pPr>
              <w:pStyle w:val="ListParagraph"/>
              <w:numPr>
                <w:ilvl w:val="0"/>
                <w:numId w:val="18"/>
              </w:numPr>
              <w:spacing w:line="259" w:lineRule="auto"/>
              <w:rPr>
                <w:rFonts w:ascii="Times New Roman" w:hAnsi="Times New Roman"/>
                <w:sz w:val="24"/>
                <w:szCs w:val="24"/>
              </w:rPr>
            </w:pPr>
            <w:r w:rsidRPr="4D40F77D">
              <w:rPr>
                <w:rFonts w:ascii="Times New Roman" w:hAnsi="Times New Roman"/>
                <w:sz w:val="24"/>
                <w:szCs w:val="24"/>
              </w:rPr>
              <w:t xml:space="preserve">What </w:t>
            </w:r>
            <w:r w:rsidR="00DB2687" w:rsidRPr="4D40F77D">
              <w:rPr>
                <w:rFonts w:ascii="Times New Roman" w:hAnsi="Times New Roman"/>
                <w:sz w:val="24"/>
                <w:szCs w:val="24"/>
              </w:rPr>
              <w:t xml:space="preserve">are the </w:t>
            </w:r>
            <w:r w:rsidR="13EB5EF5" w:rsidRPr="4D40F77D">
              <w:rPr>
                <w:rFonts w:ascii="Times New Roman" w:hAnsi="Times New Roman"/>
                <w:sz w:val="24"/>
                <w:szCs w:val="24"/>
              </w:rPr>
              <w:t>i</w:t>
            </w:r>
            <w:r w:rsidR="00DB2687" w:rsidRPr="4D40F77D">
              <w:rPr>
                <w:rFonts w:ascii="Times New Roman" w:hAnsi="Times New Roman"/>
                <w:sz w:val="24"/>
                <w:szCs w:val="24"/>
              </w:rPr>
              <w:t>m</w:t>
            </w:r>
            <w:r w:rsidR="13EB5EF5" w:rsidRPr="4D40F77D">
              <w:rPr>
                <w:rFonts w:ascii="Times New Roman" w:hAnsi="Times New Roman"/>
                <w:sz w:val="24"/>
                <w:szCs w:val="24"/>
              </w:rPr>
              <w:t>mediate and near-future</w:t>
            </w:r>
            <w:r w:rsidR="00DB2687" w:rsidRPr="4D40F77D">
              <w:rPr>
                <w:rFonts w:ascii="Times New Roman" w:hAnsi="Times New Roman"/>
                <w:sz w:val="24"/>
                <w:szCs w:val="24"/>
              </w:rPr>
              <w:t xml:space="preserve"> impacts of the pandemic on monitoring</w:t>
            </w:r>
            <w:r w:rsidR="000430F4" w:rsidRPr="4D40F77D">
              <w:rPr>
                <w:rFonts w:ascii="Times New Roman" w:hAnsi="Times New Roman"/>
                <w:sz w:val="24"/>
                <w:szCs w:val="24"/>
              </w:rPr>
              <w:t>?</w:t>
            </w:r>
          </w:p>
          <w:p w14:paraId="17167A07" w14:textId="5D18E956" w:rsidR="00CA51C1" w:rsidRPr="007A2BD6" w:rsidRDefault="00CA51C1" w:rsidP="004521DA">
            <w:pPr>
              <w:pStyle w:val="ListParagraph"/>
              <w:spacing w:line="259" w:lineRule="auto"/>
              <w:rPr>
                <w:rFonts w:ascii="Times New Roman" w:hAnsi="Times New Roman"/>
                <w:sz w:val="24"/>
                <w:szCs w:val="24"/>
              </w:rPr>
            </w:pPr>
          </w:p>
          <w:p w14:paraId="545419F6" w14:textId="31BD5480" w:rsidR="00CA51C1" w:rsidRDefault="00CA51C1" w:rsidP="007A2BD6">
            <w:pPr>
              <w:contextualSpacing/>
              <w:rPr>
                <w:rFonts w:ascii="Times New Roman" w:hAnsi="Times New Roman" w:cs="Times New Roman"/>
                <w:sz w:val="24"/>
                <w:szCs w:val="24"/>
              </w:rPr>
            </w:pPr>
            <w:r w:rsidRPr="007A2BD6">
              <w:rPr>
                <w:rFonts w:ascii="Times New Roman" w:hAnsi="Times New Roman" w:cs="Times New Roman"/>
                <w:sz w:val="24"/>
                <w:szCs w:val="24"/>
              </w:rPr>
              <w:t xml:space="preserve">PCG will draw from the information gathered from initial comprehensive data and document review, staff interviews, best practices research, and visioning sessions (detailed above) to inform the DWD Compliance Strategic Plan. </w:t>
            </w:r>
          </w:p>
          <w:p w14:paraId="475F831F" w14:textId="77777777" w:rsidR="00BF3E06" w:rsidRPr="007A2BD6" w:rsidRDefault="00BF3E06" w:rsidP="007A2BD6">
            <w:pPr>
              <w:contextualSpacing/>
              <w:rPr>
                <w:rFonts w:ascii="Times New Roman" w:hAnsi="Times New Roman" w:cs="Times New Roman"/>
                <w:sz w:val="24"/>
                <w:szCs w:val="24"/>
              </w:rPr>
            </w:pPr>
          </w:p>
          <w:p w14:paraId="3974CDC8" w14:textId="0AB9685D" w:rsidR="00CA51C1" w:rsidRPr="007A2BD6" w:rsidRDefault="00CA51C1" w:rsidP="00862BFF">
            <w:pPr>
              <w:contextualSpacing/>
              <w:rPr>
                <w:rFonts w:ascii="Times New Roman" w:hAnsi="Times New Roman" w:cs="Times New Roman"/>
                <w:sz w:val="24"/>
                <w:szCs w:val="24"/>
              </w:rPr>
            </w:pPr>
            <w:r w:rsidRPr="007A2BD6">
              <w:rPr>
                <w:rFonts w:ascii="Times New Roman" w:hAnsi="Times New Roman" w:cs="Times New Roman"/>
                <w:b/>
                <w:bCs/>
                <w:sz w:val="24"/>
                <w:szCs w:val="24"/>
              </w:rPr>
              <w:t xml:space="preserve">Phase III </w:t>
            </w:r>
            <w:r w:rsidR="00BF3E06">
              <w:rPr>
                <w:rFonts w:ascii="Times New Roman" w:hAnsi="Times New Roman" w:cs="Times New Roman"/>
                <w:b/>
                <w:bCs/>
                <w:sz w:val="24"/>
                <w:szCs w:val="24"/>
              </w:rPr>
              <w:t>-</w:t>
            </w:r>
            <w:r w:rsidRPr="007A2BD6">
              <w:rPr>
                <w:rFonts w:ascii="Times New Roman" w:hAnsi="Times New Roman" w:cs="Times New Roman"/>
                <w:b/>
                <w:bCs/>
                <w:sz w:val="24"/>
                <w:szCs w:val="24"/>
              </w:rPr>
              <w:t xml:space="preserve"> Iterate:</w:t>
            </w:r>
            <w:r w:rsidR="00BF3E06">
              <w:rPr>
                <w:rFonts w:ascii="Times New Roman" w:hAnsi="Times New Roman" w:cs="Times New Roman"/>
                <w:b/>
                <w:bCs/>
                <w:sz w:val="24"/>
                <w:szCs w:val="24"/>
              </w:rPr>
              <w:t xml:space="preserve"> </w:t>
            </w:r>
            <w:r w:rsidRPr="007A2BD6">
              <w:rPr>
                <w:rFonts w:ascii="Times New Roman" w:hAnsi="Times New Roman" w:cs="Times New Roman"/>
                <w:sz w:val="24"/>
                <w:szCs w:val="24"/>
              </w:rPr>
              <w:t xml:space="preserve">Following the visioning sessions, PCG will: </w:t>
            </w:r>
          </w:p>
          <w:p w14:paraId="51073C36" w14:textId="77777777" w:rsidR="00CA51C1" w:rsidRPr="007A2BD6" w:rsidRDefault="00CA51C1" w:rsidP="00E038C3">
            <w:pPr>
              <w:pStyle w:val="ListParagraph"/>
              <w:numPr>
                <w:ilvl w:val="0"/>
                <w:numId w:val="19"/>
              </w:numPr>
              <w:spacing w:line="259" w:lineRule="auto"/>
              <w:rPr>
                <w:rFonts w:ascii="Times New Roman" w:hAnsi="Times New Roman"/>
                <w:sz w:val="24"/>
                <w:szCs w:val="24"/>
              </w:rPr>
            </w:pPr>
            <w:r w:rsidRPr="007A2BD6">
              <w:rPr>
                <w:rFonts w:ascii="Times New Roman" w:hAnsi="Times New Roman"/>
                <w:sz w:val="24"/>
                <w:szCs w:val="24"/>
              </w:rPr>
              <w:t>Submit a proposed strategic plan format and table of contents to DWD for review and approval</w:t>
            </w:r>
          </w:p>
          <w:p w14:paraId="1D9DB332" w14:textId="77777777" w:rsidR="00CA51C1" w:rsidRPr="007A2BD6" w:rsidRDefault="00CA51C1" w:rsidP="00E038C3">
            <w:pPr>
              <w:pStyle w:val="ListParagraph"/>
              <w:numPr>
                <w:ilvl w:val="0"/>
                <w:numId w:val="19"/>
              </w:numPr>
              <w:spacing w:line="259" w:lineRule="auto"/>
              <w:rPr>
                <w:rFonts w:ascii="Times New Roman" w:hAnsi="Times New Roman"/>
                <w:sz w:val="24"/>
                <w:szCs w:val="24"/>
              </w:rPr>
            </w:pPr>
            <w:r w:rsidRPr="007A2BD6">
              <w:rPr>
                <w:rFonts w:ascii="Times New Roman" w:hAnsi="Times New Roman"/>
                <w:sz w:val="24"/>
                <w:szCs w:val="24"/>
              </w:rPr>
              <w:t>Work with DWD to support drafting the content for the strategic plan using information gathered above</w:t>
            </w:r>
          </w:p>
          <w:p w14:paraId="45F034E5" w14:textId="77777777" w:rsidR="00CA51C1" w:rsidRPr="007A2BD6" w:rsidRDefault="00CA51C1" w:rsidP="00E038C3">
            <w:pPr>
              <w:pStyle w:val="ListParagraph"/>
              <w:numPr>
                <w:ilvl w:val="0"/>
                <w:numId w:val="19"/>
              </w:numPr>
              <w:spacing w:line="259" w:lineRule="auto"/>
              <w:rPr>
                <w:rFonts w:ascii="Times New Roman" w:hAnsi="Times New Roman"/>
                <w:sz w:val="24"/>
                <w:szCs w:val="24"/>
              </w:rPr>
            </w:pPr>
            <w:r w:rsidRPr="007A2BD6">
              <w:rPr>
                <w:rFonts w:ascii="Times New Roman" w:hAnsi="Times New Roman"/>
                <w:sz w:val="24"/>
                <w:szCs w:val="24"/>
              </w:rPr>
              <w:t>Submit draft strategic plan to DWD for one round of review and feedback</w:t>
            </w:r>
          </w:p>
          <w:p w14:paraId="2B2A03B8" w14:textId="77777777" w:rsidR="00CA51C1" w:rsidRPr="007A2BD6" w:rsidRDefault="00CA51C1" w:rsidP="00E038C3">
            <w:pPr>
              <w:pStyle w:val="ListParagraph"/>
              <w:numPr>
                <w:ilvl w:val="0"/>
                <w:numId w:val="19"/>
              </w:numPr>
              <w:spacing w:line="259" w:lineRule="auto"/>
              <w:rPr>
                <w:rFonts w:ascii="Times New Roman" w:hAnsi="Times New Roman"/>
                <w:sz w:val="24"/>
                <w:szCs w:val="24"/>
              </w:rPr>
            </w:pPr>
            <w:r w:rsidRPr="007A2BD6">
              <w:rPr>
                <w:rFonts w:ascii="Times New Roman" w:hAnsi="Times New Roman"/>
                <w:sz w:val="24"/>
                <w:szCs w:val="24"/>
              </w:rPr>
              <w:t>Integrate feedback into final draft for DWD review</w:t>
            </w:r>
          </w:p>
          <w:p w14:paraId="05DD6B1C" w14:textId="06B25749" w:rsidR="00CA51C1" w:rsidRDefault="00CA51C1" w:rsidP="00E038C3">
            <w:pPr>
              <w:pStyle w:val="ListParagraph"/>
              <w:numPr>
                <w:ilvl w:val="0"/>
                <w:numId w:val="19"/>
              </w:numPr>
              <w:spacing w:line="259" w:lineRule="auto"/>
              <w:rPr>
                <w:rFonts w:ascii="Times New Roman" w:hAnsi="Times New Roman"/>
                <w:sz w:val="24"/>
                <w:szCs w:val="24"/>
              </w:rPr>
            </w:pPr>
            <w:r w:rsidRPr="007A2BD6">
              <w:rPr>
                <w:rFonts w:ascii="Times New Roman" w:hAnsi="Times New Roman"/>
                <w:sz w:val="24"/>
                <w:szCs w:val="24"/>
              </w:rPr>
              <w:t>Finalize and submit strategic plan to DWD</w:t>
            </w:r>
          </w:p>
          <w:p w14:paraId="02CB3EB3" w14:textId="77777777" w:rsidR="00862BFF" w:rsidRPr="007A2BD6" w:rsidRDefault="00862BFF" w:rsidP="00862BFF">
            <w:pPr>
              <w:pStyle w:val="ListParagraph"/>
              <w:spacing w:line="259" w:lineRule="auto"/>
              <w:rPr>
                <w:rFonts w:ascii="Times New Roman" w:hAnsi="Times New Roman"/>
                <w:sz w:val="24"/>
                <w:szCs w:val="24"/>
              </w:rPr>
            </w:pPr>
          </w:p>
          <w:p w14:paraId="1A62CCAB" w14:textId="759E9B20" w:rsidR="00CA51C1" w:rsidRPr="007A2BD6" w:rsidRDefault="00CA51C1" w:rsidP="00862BFF">
            <w:pPr>
              <w:autoSpaceDE w:val="0"/>
              <w:autoSpaceDN w:val="0"/>
              <w:adjustRightInd w:val="0"/>
              <w:contextualSpacing/>
              <w:rPr>
                <w:rFonts w:ascii="Times New Roman" w:hAnsi="Times New Roman" w:cs="Times New Roman"/>
                <w:sz w:val="24"/>
                <w:szCs w:val="24"/>
              </w:rPr>
            </w:pPr>
            <w:r w:rsidRPr="007A2BD6">
              <w:rPr>
                <w:rFonts w:ascii="Times New Roman" w:hAnsi="Times New Roman" w:cs="Times New Roman"/>
                <w:sz w:val="24"/>
                <w:szCs w:val="24"/>
              </w:rPr>
              <w:t xml:space="preserve">Through the drafting process with DWD, PCG’s aim will be to identify and remediate any major areas of disconnect that could be detrimental to wide support of the plan, cultivate buy-in and feelings of “co-ownership”, and drive “fine tuning” of plan language and messaging. This process will ultimately result in a final, fully vetted version ready to guide the organization. The final product of this effort will be </w:t>
            </w:r>
            <w:r w:rsidR="002B6D05" w:rsidRPr="00AD7DAC">
              <w:rPr>
                <w:rFonts w:ascii="Times New Roman" w:hAnsi="Times New Roman" w:cs="Times New Roman"/>
                <w:b/>
                <w:bCs/>
                <w:sz w:val="24"/>
                <w:szCs w:val="24"/>
              </w:rPr>
              <w:t xml:space="preserve">Deliverable 2: </w:t>
            </w:r>
            <w:r w:rsidRPr="00AD7DAC">
              <w:rPr>
                <w:rFonts w:ascii="Times New Roman" w:hAnsi="Times New Roman" w:cs="Times New Roman"/>
                <w:b/>
                <w:bCs/>
                <w:sz w:val="24"/>
                <w:szCs w:val="24"/>
              </w:rPr>
              <w:t xml:space="preserve">DWD </w:t>
            </w:r>
            <w:r w:rsidR="002B6D05" w:rsidRPr="00AD7DAC">
              <w:rPr>
                <w:rFonts w:ascii="Times New Roman" w:hAnsi="Times New Roman" w:cs="Times New Roman"/>
                <w:b/>
                <w:bCs/>
                <w:sz w:val="24"/>
                <w:szCs w:val="24"/>
              </w:rPr>
              <w:t>C</w:t>
            </w:r>
            <w:r w:rsidRPr="00AD7DAC">
              <w:rPr>
                <w:rFonts w:ascii="Times New Roman" w:hAnsi="Times New Roman" w:cs="Times New Roman"/>
                <w:b/>
                <w:bCs/>
                <w:sz w:val="24"/>
                <w:szCs w:val="24"/>
              </w:rPr>
              <w:t xml:space="preserve">ompliance </w:t>
            </w:r>
            <w:r w:rsidR="002B6D05" w:rsidRPr="00AD7DAC">
              <w:rPr>
                <w:rFonts w:ascii="Times New Roman" w:hAnsi="Times New Roman" w:cs="Times New Roman"/>
                <w:b/>
                <w:bCs/>
                <w:sz w:val="24"/>
                <w:szCs w:val="24"/>
              </w:rPr>
              <w:t>S</w:t>
            </w:r>
            <w:r w:rsidRPr="00AD7DAC">
              <w:rPr>
                <w:rFonts w:ascii="Times New Roman" w:hAnsi="Times New Roman" w:cs="Times New Roman"/>
                <w:b/>
                <w:bCs/>
                <w:sz w:val="24"/>
                <w:szCs w:val="24"/>
              </w:rPr>
              <w:t xml:space="preserve">trategic </w:t>
            </w:r>
            <w:r w:rsidR="002B6D05" w:rsidRPr="00AD7DAC">
              <w:rPr>
                <w:rFonts w:ascii="Times New Roman" w:hAnsi="Times New Roman" w:cs="Times New Roman"/>
                <w:b/>
                <w:bCs/>
                <w:sz w:val="24"/>
                <w:szCs w:val="24"/>
              </w:rPr>
              <w:t>P</w:t>
            </w:r>
            <w:r w:rsidRPr="00AD7DAC">
              <w:rPr>
                <w:rFonts w:ascii="Times New Roman" w:hAnsi="Times New Roman" w:cs="Times New Roman"/>
                <w:b/>
                <w:bCs/>
                <w:sz w:val="24"/>
                <w:szCs w:val="24"/>
              </w:rPr>
              <w:t>lan</w:t>
            </w:r>
            <w:r w:rsidRPr="007A2BD6">
              <w:rPr>
                <w:rFonts w:ascii="Times New Roman" w:hAnsi="Times New Roman" w:cs="Times New Roman"/>
                <w:sz w:val="24"/>
                <w:szCs w:val="24"/>
              </w:rPr>
              <w:t xml:space="preserve"> that will identify the vision/mission and include goals, </w:t>
            </w:r>
            <w:r w:rsidR="00252F9C">
              <w:rPr>
                <w:rFonts w:ascii="Times New Roman" w:hAnsi="Times New Roman" w:cs="Times New Roman"/>
                <w:sz w:val="24"/>
                <w:szCs w:val="24"/>
              </w:rPr>
              <w:t xml:space="preserve">strategies, </w:t>
            </w:r>
            <w:r w:rsidRPr="007A2BD6">
              <w:rPr>
                <w:rFonts w:ascii="Times New Roman" w:hAnsi="Times New Roman" w:cs="Times New Roman"/>
                <w:sz w:val="24"/>
                <w:szCs w:val="24"/>
              </w:rPr>
              <w:t>objectives, and actions steps to guide the organization.</w:t>
            </w:r>
          </w:p>
          <w:p w14:paraId="5B527823" w14:textId="77777777" w:rsidR="00CA51C1" w:rsidRPr="007A2BD6" w:rsidRDefault="00CA51C1" w:rsidP="00862BFF">
            <w:pPr>
              <w:autoSpaceDE w:val="0"/>
              <w:autoSpaceDN w:val="0"/>
              <w:adjustRightInd w:val="0"/>
              <w:contextualSpacing/>
              <w:rPr>
                <w:rFonts w:ascii="Times New Roman" w:hAnsi="Times New Roman" w:cs="Times New Roman"/>
                <w:sz w:val="24"/>
                <w:szCs w:val="24"/>
              </w:rPr>
            </w:pPr>
          </w:p>
          <w:p w14:paraId="05D7C384" w14:textId="17885790" w:rsidR="00CA51C1" w:rsidRPr="00362555" w:rsidRDefault="00CA51C1" w:rsidP="00E038C3">
            <w:pPr>
              <w:numPr>
                <w:ilvl w:val="1"/>
                <w:numId w:val="22"/>
              </w:numPr>
              <w:spacing w:line="276" w:lineRule="auto"/>
              <w:ind w:left="610"/>
              <w:contextualSpacing/>
              <w:rPr>
                <w:rFonts w:ascii="Times New Roman" w:hAnsi="Times New Roman" w:cs="Times New Roman"/>
                <w:bCs/>
                <w:i/>
                <w:sz w:val="24"/>
                <w:szCs w:val="24"/>
              </w:rPr>
            </w:pPr>
            <w:r w:rsidRPr="00362555">
              <w:rPr>
                <w:rFonts w:ascii="Times New Roman" w:hAnsi="Times New Roman" w:cs="Times New Roman"/>
                <w:bCs/>
                <w:i/>
                <w:sz w:val="24"/>
                <w:szCs w:val="24"/>
              </w:rPr>
              <w:t>Develop, in conjunction with the DWD Compliance Team, a DWD Monitoring Manual/Procedure and associated monitoring tools across programs</w:t>
            </w:r>
          </w:p>
          <w:p w14:paraId="4174488A" w14:textId="77777777" w:rsidR="00CA51C1" w:rsidRPr="007A2BD6" w:rsidRDefault="00CA51C1" w:rsidP="00862BFF">
            <w:pPr>
              <w:contextualSpacing/>
              <w:rPr>
                <w:rFonts w:ascii="Times New Roman" w:hAnsi="Times New Roman" w:cs="Times New Roman"/>
                <w:sz w:val="24"/>
                <w:szCs w:val="24"/>
              </w:rPr>
            </w:pPr>
          </w:p>
          <w:p w14:paraId="250FA8B5" w14:textId="16415936" w:rsidR="00CA51C1" w:rsidRDefault="00CA51C1" w:rsidP="00862BFF">
            <w:pPr>
              <w:contextualSpacing/>
              <w:rPr>
                <w:rFonts w:ascii="Times New Roman" w:hAnsi="Times New Roman" w:cs="Times New Roman"/>
                <w:sz w:val="24"/>
                <w:szCs w:val="24"/>
              </w:rPr>
            </w:pPr>
            <w:r w:rsidRPr="007A2BD6">
              <w:rPr>
                <w:rFonts w:ascii="Times New Roman" w:hAnsi="Times New Roman" w:cs="Times New Roman"/>
                <w:sz w:val="24"/>
                <w:szCs w:val="24"/>
              </w:rPr>
              <w:t>PCG’s approach to the development of the monitoring procedure manual is to leverage the work conducted in steps a-d for the development of the manual. PCG’s process is organized into three stages:</w:t>
            </w:r>
          </w:p>
          <w:p w14:paraId="60DB3BCA" w14:textId="77777777" w:rsidR="00AC3BC7" w:rsidRPr="007A2BD6" w:rsidRDefault="00AC3BC7" w:rsidP="00862BFF">
            <w:pPr>
              <w:contextualSpacing/>
              <w:rPr>
                <w:rFonts w:ascii="Times New Roman" w:hAnsi="Times New Roman" w:cs="Times New Roman"/>
                <w:sz w:val="24"/>
                <w:szCs w:val="24"/>
              </w:rPr>
            </w:pPr>
          </w:p>
          <w:p w14:paraId="64C7E1AC" w14:textId="77777777" w:rsidR="00CA51C1" w:rsidRPr="007A2BD6" w:rsidRDefault="00CA51C1" w:rsidP="00E038C3">
            <w:pPr>
              <w:pStyle w:val="ListParagraph"/>
              <w:numPr>
                <w:ilvl w:val="0"/>
                <w:numId w:val="27"/>
              </w:numPr>
              <w:spacing w:line="259" w:lineRule="auto"/>
              <w:ind w:left="700"/>
              <w:rPr>
                <w:rFonts w:ascii="Times New Roman" w:hAnsi="Times New Roman"/>
                <w:sz w:val="24"/>
                <w:szCs w:val="24"/>
              </w:rPr>
            </w:pPr>
            <w:r w:rsidRPr="007A2BD6">
              <w:rPr>
                <w:rFonts w:ascii="Times New Roman" w:hAnsi="Times New Roman"/>
                <w:sz w:val="24"/>
                <w:szCs w:val="24"/>
              </w:rPr>
              <w:t>Conduct current-state analysis of existing procedures</w:t>
            </w:r>
          </w:p>
          <w:p w14:paraId="63296CFB" w14:textId="77777777" w:rsidR="00CA51C1" w:rsidRPr="007A2BD6" w:rsidRDefault="00CA51C1" w:rsidP="00E038C3">
            <w:pPr>
              <w:pStyle w:val="ListParagraph"/>
              <w:numPr>
                <w:ilvl w:val="0"/>
                <w:numId w:val="27"/>
              </w:numPr>
              <w:spacing w:line="259" w:lineRule="auto"/>
              <w:ind w:left="700"/>
              <w:rPr>
                <w:rFonts w:ascii="Times New Roman" w:hAnsi="Times New Roman"/>
                <w:sz w:val="24"/>
                <w:szCs w:val="24"/>
              </w:rPr>
            </w:pPr>
            <w:r w:rsidRPr="007A2BD6">
              <w:rPr>
                <w:rFonts w:ascii="Times New Roman" w:hAnsi="Times New Roman"/>
                <w:sz w:val="24"/>
                <w:szCs w:val="24"/>
              </w:rPr>
              <w:t>Map vision for future-state procedure manual</w:t>
            </w:r>
          </w:p>
          <w:p w14:paraId="4746CFCC" w14:textId="306EFD4A" w:rsidR="00CA51C1" w:rsidRDefault="00CA51C1" w:rsidP="00E038C3">
            <w:pPr>
              <w:pStyle w:val="ListParagraph"/>
              <w:numPr>
                <w:ilvl w:val="0"/>
                <w:numId w:val="27"/>
              </w:numPr>
              <w:spacing w:line="259" w:lineRule="auto"/>
              <w:ind w:left="700"/>
              <w:rPr>
                <w:rFonts w:ascii="Times New Roman" w:hAnsi="Times New Roman"/>
                <w:sz w:val="24"/>
                <w:szCs w:val="24"/>
              </w:rPr>
            </w:pPr>
            <w:r w:rsidRPr="007A2BD6">
              <w:rPr>
                <w:rFonts w:ascii="Times New Roman" w:hAnsi="Times New Roman"/>
                <w:sz w:val="24"/>
                <w:szCs w:val="24"/>
              </w:rPr>
              <w:t>Determine plan for monitoring procedure manual</w:t>
            </w:r>
          </w:p>
          <w:p w14:paraId="2CF7DC7F" w14:textId="77777777" w:rsidR="00362555" w:rsidRPr="007A2BD6" w:rsidRDefault="00362555" w:rsidP="00862BFF">
            <w:pPr>
              <w:pStyle w:val="ListParagraph"/>
              <w:spacing w:line="259" w:lineRule="auto"/>
              <w:ind w:left="700"/>
              <w:rPr>
                <w:rFonts w:ascii="Times New Roman" w:hAnsi="Times New Roman"/>
                <w:sz w:val="24"/>
                <w:szCs w:val="24"/>
              </w:rPr>
            </w:pPr>
          </w:p>
          <w:p w14:paraId="029E8D32" w14:textId="7E3FA04A" w:rsidR="00CA51C1" w:rsidRDefault="00CA51C1" w:rsidP="00862BFF">
            <w:pPr>
              <w:contextualSpacing/>
              <w:rPr>
                <w:rFonts w:ascii="Times New Roman" w:hAnsi="Times New Roman" w:cs="Times New Roman"/>
                <w:sz w:val="24"/>
                <w:szCs w:val="24"/>
              </w:rPr>
            </w:pPr>
            <w:r w:rsidRPr="007A2BD6">
              <w:rPr>
                <w:rFonts w:ascii="Times New Roman" w:hAnsi="Times New Roman" w:cs="Times New Roman"/>
                <w:sz w:val="24"/>
                <w:szCs w:val="24"/>
              </w:rPr>
              <w:t>The stages are described in detail below. The work conducted in steps a-d (detailed above) is included in the approach</w:t>
            </w:r>
            <w:r w:rsidR="00A91ED8">
              <w:rPr>
                <w:rFonts w:ascii="Times New Roman" w:hAnsi="Times New Roman" w:cs="Times New Roman"/>
                <w:sz w:val="24"/>
                <w:szCs w:val="24"/>
              </w:rPr>
              <w:t xml:space="preserve"> and will inform the development of the </w:t>
            </w:r>
            <w:r w:rsidR="00F463D0">
              <w:rPr>
                <w:rFonts w:ascii="Times New Roman" w:hAnsi="Times New Roman" w:cs="Times New Roman"/>
                <w:sz w:val="24"/>
                <w:szCs w:val="24"/>
              </w:rPr>
              <w:t>manual</w:t>
            </w:r>
            <w:r w:rsidRPr="007A2BD6">
              <w:rPr>
                <w:rFonts w:ascii="Times New Roman" w:hAnsi="Times New Roman" w:cs="Times New Roman"/>
                <w:sz w:val="24"/>
                <w:szCs w:val="24"/>
              </w:rPr>
              <w:t xml:space="preserve">: </w:t>
            </w:r>
          </w:p>
          <w:p w14:paraId="4F400D64" w14:textId="77777777" w:rsidR="00AC3BC7" w:rsidRPr="007A2BD6" w:rsidRDefault="00AC3BC7" w:rsidP="00862BFF">
            <w:pPr>
              <w:contextualSpacing/>
              <w:rPr>
                <w:rFonts w:ascii="Times New Roman" w:hAnsi="Times New Roman" w:cs="Times New Roman"/>
                <w:sz w:val="24"/>
                <w:szCs w:val="24"/>
              </w:rPr>
            </w:pPr>
          </w:p>
          <w:p w14:paraId="179B609A" w14:textId="77777777" w:rsidR="00CA51C1" w:rsidRPr="007A2BD6" w:rsidRDefault="00CA51C1" w:rsidP="00E038C3">
            <w:pPr>
              <w:pStyle w:val="ListParagraph"/>
              <w:numPr>
                <w:ilvl w:val="0"/>
                <w:numId w:val="24"/>
              </w:numPr>
              <w:spacing w:line="259" w:lineRule="auto"/>
              <w:ind w:left="700"/>
              <w:rPr>
                <w:rFonts w:ascii="Times New Roman" w:hAnsi="Times New Roman"/>
                <w:sz w:val="24"/>
                <w:szCs w:val="24"/>
              </w:rPr>
            </w:pPr>
            <w:r w:rsidRPr="007A2BD6">
              <w:rPr>
                <w:rFonts w:ascii="Times New Roman" w:hAnsi="Times New Roman"/>
                <w:b/>
                <w:bCs/>
                <w:sz w:val="24"/>
                <w:szCs w:val="24"/>
              </w:rPr>
              <w:t>Conduct current-state analysis of existing procedures</w:t>
            </w:r>
            <w:r w:rsidRPr="007A2BD6">
              <w:rPr>
                <w:rFonts w:ascii="Times New Roman" w:hAnsi="Times New Roman"/>
                <w:sz w:val="24"/>
                <w:szCs w:val="24"/>
              </w:rPr>
              <w:t xml:space="preserve">: </w:t>
            </w:r>
          </w:p>
          <w:p w14:paraId="3ED5B895" w14:textId="77777777" w:rsidR="00CA51C1" w:rsidRPr="007A2BD6" w:rsidRDefault="00CA51C1" w:rsidP="00E038C3">
            <w:pPr>
              <w:pStyle w:val="ListParagraph"/>
              <w:numPr>
                <w:ilvl w:val="1"/>
                <w:numId w:val="25"/>
              </w:numPr>
              <w:spacing w:line="259" w:lineRule="auto"/>
              <w:ind w:left="1420"/>
              <w:rPr>
                <w:rFonts w:ascii="Times New Roman" w:hAnsi="Times New Roman"/>
                <w:sz w:val="24"/>
                <w:szCs w:val="24"/>
              </w:rPr>
            </w:pPr>
            <w:r w:rsidRPr="007A2BD6">
              <w:rPr>
                <w:rFonts w:ascii="Times New Roman" w:hAnsi="Times New Roman"/>
                <w:sz w:val="24"/>
                <w:szCs w:val="24"/>
              </w:rPr>
              <w:t xml:space="preserve">This analysis will begin during the comprehensive review of existing documents and development of the inventory and compliance evaluation findings report. The </w:t>
            </w:r>
            <w:r w:rsidRPr="007A2BD6">
              <w:rPr>
                <w:rFonts w:ascii="Times New Roman" w:hAnsi="Times New Roman"/>
                <w:sz w:val="24"/>
                <w:szCs w:val="24"/>
              </w:rPr>
              <w:lastRenderedPageBreak/>
              <w:t xml:space="preserve">inventory and report will be used to identify all existing written procedures and check them against federal requirements for compliance. </w:t>
            </w:r>
          </w:p>
          <w:p w14:paraId="2817054C" w14:textId="77777777" w:rsidR="00CA51C1" w:rsidRPr="007A2BD6" w:rsidRDefault="00CA51C1" w:rsidP="00E038C3">
            <w:pPr>
              <w:pStyle w:val="ListParagraph"/>
              <w:numPr>
                <w:ilvl w:val="1"/>
                <w:numId w:val="25"/>
              </w:numPr>
              <w:spacing w:line="259" w:lineRule="auto"/>
              <w:ind w:left="1420"/>
              <w:rPr>
                <w:rFonts w:ascii="Times New Roman" w:hAnsi="Times New Roman"/>
                <w:sz w:val="24"/>
                <w:szCs w:val="24"/>
              </w:rPr>
            </w:pPr>
            <w:r w:rsidRPr="007A2BD6">
              <w:rPr>
                <w:rFonts w:ascii="Times New Roman" w:hAnsi="Times New Roman"/>
                <w:sz w:val="24"/>
                <w:szCs w:val="24"/>
              </w:rPr>
              <w:t>PCG will also use the staff interviews to help identify strengths, gaps, and opportunities from the existing procedures. This feedback will supplement the inventory findings by hearing directly from the staff about what is working well, and what’s not working well, from their perspective.</w:t>
            </w:r>
          </w:p>
          <w:p w14:paraId="240DCE6A" w14:textId="12AEF642" w:rsidR="004F661C" w:rsidRDefault="00CA51C1" w:rsidP="00E038C3">
            <w:pPr>
              <w:pStyle w:val="ListParagraph"/>
              <w:numPr>
                <w:ilvl w:val="1"/>
                <w:numId w:val="25"/>
              </w:numPr>
              <w:spacing w:line="259" w:lineRule="auto"/>
              <w:ind w:left="1420"/>
              <w:rPr>
                <w:rFonts w:ascii="Times New Roman" w:hAnsi="Times New Roman"/>
                <w:sz w:val="24"/>
                <w:szCs w:val="24"/>
              </w:rPr>
            </w:pPr>
            <w:r w:rsidRPr="007A2BD6">
              <w:rPr>
                <w:rFonts w:ascii="Times New Roman" w:hAnsi="Times New Roman"/>
                <w:sz w:val="24"/>
                <w:szCs w:val="24"/>
              </w:rPr>
              <w:t>This analysis of the current procedures will identify areas that need updating for clarity and/or compliance. It will also help to identify gaps in the procedures that should be addressed.</w:t>
            </w:r>
          </w:p>
          <w:p w14:paraId="5D29ECE9" w14:textId="77777777" w:rsidR="004F661C" w:rsidRPr="004F661C" w:rsidRDefault="004F661C" w:rsidP="00862BFF">
            <w:pPr>
              <w:pStyle w:val="ListParagraph"/>
              <w:spacing w:line="259" w:lineRule="auto"/>
              <w:ind w:left="1420"/>
              <w:rPr>
                <w:rFonts w:ascii="Times New Roman" w:hAnsi="Times New Roman"/>
                <w:sz w:val="24"/>
                <w:szCs w:val="24"/>
              </w:rPr>
            </w:pPr>
          </w:p>
          <w:p w14:paraId="3ADE9B94" w14:textId="77777777" w:rsidR="00CA51C1" w:rsidRPr="007A2BD6" w:rsidRDefault="00CA51C1" w:rsidP="00E038C3">
            <w:pPr>
              <w:pStyle w:val="ListParagraph"/>
              <w:numPr>
                <w:ilvl w:val="0"/>
                <w:numId w:val="24"/>
              </w:numPr>
              <w:spacing w:line="259" w:lineRule="auto"/>
              <w:ind w:left="700"/>
              <w:rPr>
                <w:rFonts w:ascii="Times New Roman" w:hAnsi="Times New Roman"/>
                <w:b/>
                <w:bCs/>
                <w:sz w:val="24"/>
                <w:szCs w:val="24"/>
              </w:rPr>
            </w:pPr>
            <w:r w:rsidRPr="007A2BD6">
              <w:rPr>
                <w:rFonts w:ascii="Times New Roman" w:hAnsi="Times New Roman"/>
                <w:b/>
                <w:bCs/>
                <w:sz w:val="24"/>
                <w:szCs w:val="24"/>
              </w:rPr>
              <w:t>Map vision for future-state procedure manual:</w:t>
            </w:r>
          </w:p>
          <w:p w14:paraId="0903479F" w14:textId="28D44CA0" w:rsidR="00CA51C1" w:rsidRPr="007A2BD6" w:rsidRDefault="00CA51C1" w:rsidP="00E038C3">
            <w:pPr>
              <w:pStyle w:val="ListParagraph"/>
              <w:numPr>
                <w:ilvl w:val="1"/>
                <w:numId w:val="24"/>
              </w:numPr>
              <w:spacing w:line="259" w:lineRule="auto"/>
              <w:ind w:left="1420"/>
              <w:rPr>
                <w:rFonts w:ascii="Times New Roman" w:hAnsi="Times New Roman"/>
                <w:sz w:val="24"/>
                <w:szCs w:val="24"/>
              </w:rPr>
            </w:pPr>
            <w:r w:rsidRPr="007A2BD6">
              <w:rPr>
                <w:rFonts w:ascii="Times New Roman" w:hAnsi="Times New Roman"/>
                <w:sz w:val="24"/>
                <w:szCs w:val="24"/>
              </w:rPr>
              <w:t xml:space="preserve">PCG will leverage the best practices research to identify monitoring tools and procedures from other states that DWD should consider for inclusion in the DWD monitoring procedure manual. The best practices research will also be used to help </w:t>
            </w:r>
            <w:r w:rsidR="00F463D0">
              <w:rPr>
                <w:rFonts w:ascii="Times New Roman" w:hAnsi="Times New Roman"/>
                <w:sz w:val="24"/>
                <w:szCs w:val="24"/>
              </w:rPr>
              <w:t>confirm</w:t>
            </w:r>
            <w:r w:rsidR="00F463D0" w:rsidRPr="007A2BD6">
              <w:rPr>
                <w:rFonts w:ascii="Times New Roman" w:hAnsi="Times New Roman"/>
                <w:sz w:val="24"/>
                <w:szCs w:val="24"/>
              </w:rPr>
              <w:t xml:space="preserve"> </w:t>
            </w:r>
            <w:r w:rsidRPr="007A2BD6">
              <w:rPr>
                <w:rFonts w:ascii="Times New Roman" w:hAnsi="Times New Roman"/>
                <w:sz w:val="24"/>
                <w:szCs w:val="24"/>
              </w:rPr>
              <w:t xml:space="preserve">the monitoring procedure manual follows and cites all federal guidelines and includes best practices identified by agencies such as </w:t>
            </w:r>
            <w:r w:rsidR="00DC232B">
              <w:rPr>
                <w:rFonts w:ascii="Times New Roman" w:hAnsi="Times New Roman"/>
                <w:sz w:val="24"/>
                <w:szCs w:val="24"/>
              </w:rPr>
              <w:t>US Department of Labor (</w:t>
            </w:r>
            <w:r w:rsidRPr="007A2BD6">
              <w:rPr>
                <w:rFonts w:ascii="Times New Roman" w:hAnsi="Times New Roman"/>
                <w:sz w:val="24"/>
                <w:szCs w:val="24"/>
              </w:rPr>
              <w:t>DOL</w:t>
            </w:r>
            <w:r w:rsidR="00DC232B">
              <w:rPr>
                <w:rFonts w:ascii="Times New Roman" w:hAnsi="Times New Roman"/>
                <w:sz w:val="24"/>
                <w:szCs w:val="24"/>
              </w:rPr>
              <w:t>)</w:t>
            </w:r>
            <w:r w:rsidRPr="007A2BD6">
              <w:rPr>
                <w:rFonts w:ascii="Times New Roman" w:hAnsi="Times New Roman"/>
                <w:sz w:val="24"/>
                <w:szCs w:val="24"/>
              </w:rPr>
              <w:t xml:space="preserve"> and</w:t>
            </w:r>
            <w:r w:rsidR="00137606">
              <w:rPr>
                <w:rFonts w:ascii="Times New Roman" w:hAnsi="Times New Roman"/>
                <w:sz w:val="24"/>
                <w:szCs w:val="24"/>
              </w:rPr>
              <w:t xml:space="preserve"> U</w:t>
            </w:r>
            <w:r w:rsidR="00DC232B">
              <w:rPr>
                <w:rFonts w:ascii="Times New Roman" w:hAnsi="Times New Roman"/>
                <w:sz w:val="24"/>
                <w:szCs w:val="24"/>
              </w:rPr>
              <w:t>S Chief Financial Officers Council (</w:t>
            </w:r>
            <w:r w:rsidRPr="007A2BD6">
              <w:rPr>
                <w:rFonts w:ascii="Times New Roman" w:hAnsi="Times New Roman"/>
                <w:sz w:val="24"/>
                <w:szCs w:val="24"/>
              </w:rPr>
              <w:t>CFO</w:t>
            </w:r>
            <w:r w:rsidR="00DC232B">
              <w:rPr>
                <w:rFonts w:ascii="Times New Roman" w:hAnsi="Times New Roman"/>
                <w:sz w:val="24"/>
                <w:szCs w:val="24"/>
              </w:rPr>
              <w:t>)</w:t>
            </w:r>
            <w:r w:rsidRPr="007A2BD6">
              <w:rPr>
                <w:rFonts w:ascii="Times New Roman" w:hAnsi="Times New Roman"/>
                <w:sz w:val="24"/>
                <w:szCs w:val="24"/>
              </w:rPr>
              <w:t>.</w:t>
            </w:r>
          </w:p>
          <w:p w14:paraId="5DDF63D8" w14:textId="7541A0A8" w:rsidR="00CA51C1" w:rsidRPr="007A2BD6" w:rsidRDefault="00CA51C1" w:rsidP="00E038C3">
            <w:pPr>
              <w:pStyle w:val="ListParagraph"/>
              <w:numPr>
                <w:ilvl w:val="1"/>
                <w:numId w:val="24"/>
              </w:numPr>
              <w:spacing w:line="259" w:lineRule="auto"/>
              <w:ind w:left="1420"/>
              <w:rPr>
                <w:rFonts w:ascii="Times New Roman" w:hAnsi="Times New Roman"/>
                <w:sz w:val="24"/>
                <w:szCs w:val="24"/>
              </w:rPr>
            </w:pPr>
            <w:r w:rsidRPr="007A2BD6">
              <w:rPr>
                <w:rFonts w:ascii="Times New Roman" w:hAnsi="Times New Roman"/>
                <w:sz w:val="24"/>
                <w:szCs w:val="24"/>
              </w:rPr>
              <w:t xml:space="preserve">PCG will conduct one </w:t>
            </w:r>
            <w:r w:rsidRPr="4D40F77D">
              <w:rPr>
                <w:rFonts w:ascii="Times New Roman" w:hAnsi="Times New Roman"/>
                <w:sz w:val="24"/>
                <w:szCs w:val="24"/>
              </w:rPr>
              <w:t>virtual</w:t>
            </w:r>
            <w:r w:rsidR="2989E123" w:rsidRPr="4D40F77D">
              <w:rPr>
                <w:rFonts w:ascii="Times New Roman" w:hAnsi="Times New Roman"/>
                <w:sz w:val="24"/>
                <w:szCs w:val="24"/>
              </w:rPr>
              <w:t xml:space="preserve"> monitoring procedure manual</w:t>
            </w:r>
            <w:r w:rsidRPr="007A2BD6">
              <w:rPr>
                <w:rFonts w:ascii="Times New Roman" w:hAnsi="Times New Roman"/>
                <w:sz w:val="24"/>
                <w:szCs w:val="24"/>
              </w:rPr>
              <w:t xml:space="preserve"> visioning session to work through the following questions with DWD to identify the structure, goals, and content for the monitoring procedure manual: </w:t>
            </w:r>
          </w:p>
          <w:p w14:paraId="5E064170"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What is DWD’s vision for the manual?</w:t>
            </w:r>
          </w:p>
          <w:p w14:paraId="31095C13"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Who will be the primary users of the manual?</w:t>
            </w:r>
          </w:p>
          <w:p w14:paraId="4F1E1E71"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What are the major components that should be included in the manual?</w:t>
            </w:r>
          </w:p>
          <w:p w14:paraId="5182B136"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How does DWD envision the manual will be used by stakeholders?</w:t>
            </w:r>
          </w:p>
          <w:p w14:paraId="1DD54E7E"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How will the manual be maintained over time?</w:t>
            </w:r>
          </w:p>
          <w:p w14:paraId="1B310481"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What are DWD’s goals related to improvements to monitoring tools?</w:t>
            </w:r>
          </w:p>
          <w:p w14:paraId="42867C57" w14:textId="77777777" w:rsidR="00CA51C1" w:rsidRPr="007A2BD6" w:rsidRDefault="00CA51C1" w:rsidP="00E038C3">
            <w:pPr>
              <w:pStyle w:val="ListParagraph"/>
              <w:numPr>
                <w:ilvl w:val="0"/>
                <w:numId w:val="26"/>
              </w:numPr>
              <w:spacing w:line="259" w:lineRule="auto"/>
              <w:ind w:left="2140"/>
              <w:rPr>
                <w:rFonts w:ascii="Times New Roman" w:hAnsi="Times New Roman"/>
                <w:sz w:val="24"/>
                <w:szCs w:val="24"/>
              </w:rPr>
            </w:pPr>
            <w:r w:rsidRPr="007A2BD6">
              <w:rPr>
                <w:rFonts w:ascii="Times New Roman" w:hAnsi="Times New Roman"/>
                <w:sz w:val="24"/>
                <w:szCs w:val="24"/>
              </w:rPr>
              <w:t>How will the manual be shared with users and the public?</w:t>
            </w:r>
          </w:p>
          <w:p w14:paraId="503D6006" w14:textId="4B99CCFD" w:rsidR="00862BFF" w:rsidRDefault="00CA51C1" w:rsidP="000832ED">
            <w:pPr>
              <w:pStyle w:val="ListParagraph"/>
              <w:numPr>
                <w:ilvl w:val="1"/>
                <w:numId w:val="24"/>
              </w:numPr>
              <w:spacing w:line="259" w:lineRule="auto"/>
              <w:ind w:left="1420"/>
              <w:rPr>
                <w:rFonts w:ascii="Times New Roman" w:hAnsi="Times New Roman"/>
                <w:sz w:val="24"/>
                <w:szCs w:val="24"/>
              </w:rPr>
            </w:pPr>
            <w:r w:rsidRPr="007A2BD6">
              <w:rPr>
                <w:rFonts w:ascii="Times New Roman" w:hAnsi="Times New Roman"/>
                <w:sz w:val="24"/>
                <w:szCs w:val="24"/>
              </w:rPr>
              <w:t xml:space="preserve">Using information gathered from the current-state analysis and best practice research, as well as feedback collected from the visioning sessions, PCG will document the processes required to fulfill </w:t>
            </w:r>
            <w:r w:rsidRPr="006A5D2A">
              <w:rPr>
                <w:rFonts w:ascii="Times New Roman" w:hAnsi="Times New Roman"/>
                <w:sz w:val="24"/>
                <w:szCs w:val="24"/>
              </w:rPr>
              <w:t>DWD</w:t>
            </w:r>
            <w:r w:rsidR="002731C8" w:rsidRPr="006A5D2A">
              <w:rPr>
                <w:rFonts w:ascii="Times New Roman" w:hAnsi="Times New Roman"/>
                <w:sz w:val="24"/>
                <w:szCs w:val="24"/>
              </w:rPr>
              <w:t>’s</w:t>
            </w:r>
            <w:r w:rsidRPr="007A2BD6">
              <w:rPr>
                <w:rFonts w:ascii="Times New Roman" w:hAnsi="Times New Roman"/>
                <w:sz w:val="24"/>
                <w:szCs w:val="24"/>
              </w:rPr>
              <w:t xml:space="preserve"> purpose/function including major work steps, key inputs, outputs, stakeholders, and activities.</w:t>
            </w:r>
          </w:p>
          <w:p w14:paraId="7236734D" w14:textId="77777777" w:rsidR="00F463D0" w:rsidRPr="007A2BD6" w:rsidRDefault="00F463D0" w:rsidP="009D23FF">
            <w:pPr>
              <w:pStyle w:val="ListParagraph"/>
              <w:spacing w:line="259" w:lineRule="auto"/>
              <w:ind w:left="1420"/>
              <w:rPr>
                <w:rFonts w:ascii="Times New Roman" w:hAnsi="Times New Roman"/>
                <w:sz w:val="24"/>
                <w:szCs w:val="24"/>
              </w:rPr>
            </w:pPr>
          </w:p>
          <w:p w14:paraId="5321682E" w14:textId="1D8038C5" w:rsidR="00CA51C1" w:rsidRPr="007A2BD6" w:rsidRDefault="00CA51C1" w:rsidP="00E038C3">
            <w:pPr>
              <w:pStyle w:val="ListParagraph"/>
              <w:numPr>
                <w:ilvl w:val="0"/>
                <w:numId w:val="24"/>
              </w:numPr>
              <w:spacing w:line="259" w:lineRule="auto"/>
              <w:ind w:left="700"/>
              <w:rPr>
                <w:rFonts w:ascii="Times New Roman" w:hAnsi="Times New Roman"/>
                <w:b/>
                <w:bCs/>
                <w:sz w:val="24"/>
                <w:szCs w:val="24"/>
              </w:rPr>
            </w:pPr>
            <w:r w:rsidRPr="007A2BD6">
              <w:rPr>
                <w:rFonts w:ascii="Times New Roman" w:hAnsi="Times New Roman"/>
                <w:b/>
                <w:bCs/>
                <w:sz w:val="24"/>
                <w:szCs w:val="24"/>
              </w:rPr>
              <w:t>Determine plan for monitoring procedure manual</w:t>
            </w:r>
            <w:r w:rsidR="00862BFF">
              <w:rPr>
                <w:rFonts w:ascii="Times New Roman" w:hAnsi="Times New Roman"/>
                <w:b/>
                <w:bCs/>
                <w:sz w:val="24"/>
                <w:szCs w:val="24"/>
              </w:rPr>
              <w:t>:</w:t>
            </w:r>
          </w:p>
          <w:p w14:paraId="43A6A14D" w14:textId="3C452A9F" w:rsidR="00CA51C1" w:rsidRPr="007A2BD6" w:rsidRDefault="00CA51C1" w:rsidP="00E038C3">
            <w:pPr>
              <w:pStyle w:val="ListParagraph"/>
              <w:numPr>
                <w:ilvl w:val="1"/>
                <w:numId w:val="24"/>
              </w:numPr>
              <w:spacing w:line="259" w:lineRule="auto"/>
              <w:ind w:left="1420"/>
              <w:rPr>
                <w:rFonts w:ascii="Times New Roman" w:hAnsi="Times New Roman"/>
                <w:b/>
                <w:bCs/>
                <w:sz w:val="24"/>
                <w:szCs w:val="24"/>
              </w:rPr>
            </w:pPr>
            <w:r w:rsidRPr="007A2BD6">
              <w:rPr>
                <w:rFonts w:ascii="Times New Roman" w:hAnsi="Times New Roman"/>
                <w:sz w:val="24"/>
                <w:szCs w:val="24"/>
              </w:rPr>
              <w:t>With DWD, PCG will draft an outline Table of Contents for the monitoring procedure manual, as well as draft updated monitoring tools</w:t>
            </w:r>
          </w:p>
          <w:p w14:paraId="6A86D2B9" w14:textId="77777777" w:rsidR="00CA51C1" w:rsidRPr="007A2BD6" w:rsidRDefault="00CA51C1" w:rsidP="00E038C3">
            <w:pPr>
              <w:pStyle w:val="ListParagraph"/>
              <w:numPr>
                <w:ilvl w:val="1"/>
                <w:numId w:val="24"/>
              </w:numPr>
              <w:spacing w:line="259" w:lineRule="auto"/>
              <w:ind w:left="1420"/>
              <w:rPr>
                <w:rFonts w:ascii="Times New Roman" w:hAnsi="Times New Roman"/>
                <w:b/>
                <w:bCs/>
                <w:sz w:val="24"/>
                <w:szCs w:val="24"/>
              </w:rPr>
            </w:pPr>
            <w:r w:rsidRPr="007A2BD6">
              <w:rPr>
                <w:rFonts w:ascii="Times New Roman" w:hAnsi="Times New Roman"/>
                <w:sz w:val="24"/>
                <w:szCs w:val="24"/>
              </w:rPr>
              <w:t>With DWD, PCG will draft content for the manual and will share with DWD for one round of feedback</w:t>
            </w:r>
          </w:p>
          <w:p w14:paraId="609F3EE5" w14:textId="5A0F76CF" w:rsidR="00730B92" w:rsidRPr="009D23FF" w:rsidRDefault="00CA51C1" w:rsidP="00E038C3">
            <w:pPr>
              <w:pStyle w:val="ListParagraph"/>
              <w:numPr>
                <w:ilvl w:val="1"/>
                <w:numId w:val="24"/>
              </w:numPr>
              <w:spacing w:line="259" w:lineRule="auto"/>
              <w:ind w:left="1420"/>
              <w:rPr>
                <w:rFonts w:ascii="Garamond" w:hAnsi="Garamond"/>
                <w:b/>
                <w:bCs/>
                <w:iCs/>
                <w:sz w:val="24"/>
                <w:szCs w:val="24"/>
              </w:rPr>
            </w:pPr>
            <w:r w:rsidRPr="007A2BD6">
              <w:rPr>
                <w:rFonts w:ascii="Times New Roman" w:hAnsi="Times New Roman"/>
                <w:sz w:val="24"/>
                <w:szCs w:val="24"/>
              </w:rPr>
              <w:t xml:space="preserve">PCG will finalize </w:t>
            </w:r>
            <w:r w:rsidR="000467F2" w:rsidRPr="009D23FF">
              <w:rPr>
                <w:rFonts w:ascii="Times New Roman" w:hAnsi="Times New Roman"/>
                <w:b/>
                <w:bCs/>
                <w:sz w:val="24"/>
                <w:szCs w:val="24"/>
              </w:rPr>
              <w:t>Deliverable 3: DWD M</w:t>
            </w:r>
            <w:r w:rsidRPr="009D23FF">
              <w:rPr>
                <w:rFonts w:ascii="Times New Roman" w:hAnsi="Times New Roman"/>
                <w:b/>
                <w:bCs/>
                <w:sz w:val="24"/>
                <w:szCs w:val="24"/>
              </w:rPr>
              <w:t xml:space="preserve">onitoring </w:t>
            </w:r>
            <w:r w:rsidR="000467F2" w:rsidRPr="009D23FF">
              <w:rPr>
                <w:rFonts w:ascii="Times New Roman" w:hAnsi="Times New Roman"/>
                <w:b/>
                <w:bCs/>
                <w:sz w:val="24"/>
                <w:szCs w:val="24"/>
              </w:rPr>
              <w:t>P</w:t>
            </w:r>
            <w:r w:rsidRPr="009D23FF">
              <w:rPr>
                <w:rFonts w:ascii="Times New Roman" w:hAnsi="Times New Roman"/>
                <w:b/>
                <w:bCs/>
                <w:sz w:val="24"/>
                <w:szCs w:val="24"/>
              </w:rPr>
              <w:t xml:space="preserve">rocedure </w:t>
            </w:r>
            <w:r w:rsidR="000467F2" w:rsidRPr="009D23FF">
              <w:rPr>
                <w:rFonts w:ascii="Times New Roman" w:hAnsi="Times New Roman"/>
                <w:b/>
                <w:bCs/>
                <w:sz w:val="24"/>
                <w:szCs w:val="24"/>
              </w:rPr>
              <w:t>M</w:t>
            </w:r>
            <w:r w:rsidRPr="009D23FF">
              <w:rPr>
                <w:rFonts w:ascii="Times New Roman" w:hAnsi="Times New Roman"/>
                <w:b/>
                <w:bCs/>
                <w:sz w:val="24"/>
                <w:szCs w:val="24"/>
              </w:rPr>
              <w:t xml:space="preserve">anual and </w:t>
            </w:r>
            <w:r w:rsidR="000467F2" w:rsidRPr="009D23FF">
              <w:rPr>
                <w:rFonts w:ascii="Times New Roman" w:hAnsi="Times New Roman"/>
                <w:b/>
                <w:bCs/>
                <w:sz w:val="24"/>
                <w:szCs w:val="24"/>
              </w:rPr>
              <w:t>M</w:t>
            </w:r>
            <w:r w:rsidRPr="009D23FF">
              <w:rPr>
                <w:rFonts w:ascii="Times New Roman" w:hAnsi="Times New Roman"/>
                <w:b/>
                <w:bCs/>
                <w:sz w:val="24"/>
                <w:szCs w:val="24"/>
              </w:rPr>
              <w:t xml:space="preserve">onitoring </w:t>
            </w:r>
            <w:r w:rsidR="000467F2" w:rsidRPr="009D23FF">
              <w:rPr>
                <w:rFonts w:ascii="Times New Roman" w:hAnsi="Times New Roman"/>
                <w:b/>
                <w:bCs/>
                <w:sz w:val="24"/>
                <w:szCs w:val="24"/>
              </w:rPr>
              <w:t>T</w:t>
            </w:r>
            <w:r w:rsidRPr="009D23FF">
              <w:rPr>
                <w:rFonts w:ascii="Times New Roman" w:hAnsi="Times New Roman"/>
                <w:b/>
                <w:bCs/>
                <w:sz w:val="24"/>
                <w:szCs w:val="24"/>
              </w:rPr>
              <w:t>ools</w:t>
            </w:r>
            <w:r w:rsidR="000467F2" w:rsidRPr="009D23FF">
              <w:rPr>
                <w:rFonts w:ascii="Times New Roman" w:hAnsi="Times New Roman"/>
                <w:b/>
                <w:bCs/>
                <w:sz w:val="24"/>
                <w:szCs w:val="24"/>
              </w:rPr>
              <w:t xml:space="preserve">. </w:t>
            </w:r>
          </w:p>
          <w:p w14:paraId="76089139" w14:textId="77777777" w:rsidR="000467F2" w:rsidRDefault="000467F2" w:rsidP="000467F2">
            <w:pPr>
              <w:spacing w:line="259" w:lineRule="auto"/>
              <w:rPr>
                <w:rFonts w:ascii="Garamond" w:hAnsi="Garamond"/>
                <w:bCs/>
                <w:iCs/>
                <w:sz w:val="24"/>
                <w:szCs w:val="24"/>
              </w:rPr>
            </w:pPr>
          </w:p>
          <w:p w14:paraId="43D8190A" w14:textId="1C694080" w:rsidR="00730B92" w:rsidRPr="002F1DB7" w:rsidRDefault="000467F2" w:rsidP="005210B1">
            <w:pPr>
              <w:spacing w:line="259" w:lineRule="auto"/>
              <w:rPr>
                <w:rFonts w:ascii="Times New Roman" w:hAnsi="Times New Roman" w:cs="Times New Roman"/>
                <w:sz w:val="24"/>
                <w:szCs w:val="24"/>
              </w:rPr>
            </w:pPr>
            <w:r w:rsidRPr="009D23FF">
              <w:rPr>
                <w:rFonts w:ascii="Times New Roman" w:hAnsi="Times New Roman" w:cs="Times New Roman"/>
                <w:sz w:val="24"/>
                <w:szCs w:val="24"/>
              </w:rPr>
              <w:t xml:space="preserve">PCG believes the approach outlined above will provide DWD with </w:t>
            </w:r>
            <w:r w:rsidR="000E00A2" w:rsidRPr="009D23FF">
              <w:rPr>
                <w:rFonts w:ascii="Times New Roman" w:hAnsi="Times New Roman" w:cs="Times New Roman"/>
                <w:sz w:val="24"/>
                <w:szCs w:val="24"/>
              </w:rPr>
              <w:t xml:space="preserve">high quality deliverables that can be living documents and help the agency as it strives to enhance its monitoring program. </w:t>
            </w:r>
          </w:p>
        </w:tc>
      </w:tr>
    </w:tbl>
    <w:p w14:paraId="38764005" w14:textId="194DB110" w:rsidR="00194DD8" w:rsidRDefault="00194DD8" w:rsidP="00194DD8">
      <w:pPr>
        <w:spacing w:after="0"/>
        <w:rPr>
          <w:rFonts w:ascii="Garamond" w:hAnsi="Garamond"/>
          <w:bCs/>
          <w:iCs/>
          <w:sz w:val="24"/>
          <w:szCs w:val="24"/>
        </w:rPr>
      </w:pPr>
    </w:p>
    <w:p w14:paraId="6F7000E8" w14:textId="68985297" w:rsidR="002A2841" w:rsidRPr="00194DD8" w:rsidRDefault="002A2841" w:rsidP="00194DD8">
      <w:pPr>
        <w:spacing w:after="0"/>
        <w:rPr>
          <w:rFonts w:ascii="Garamond" w:hAnsi="Garamond"/>
          <w:bCs/>
          <w:iCs/>
          <w:sz w:val="24"/>
          <w:szCs w:val="24"/>
        </w:rPr>
      </w:pPr>
    </w:p>
    <w:p w14:paraId="5BBD4ABB" w14:textId="77777777" w:rsidR="000E00A2" w:rsidRDefault="000E00A2">
      <w:pPr>
        <w:rPr>
          <w:rFonts w:ascii="Garamond" w:hAnsi="Garamond"/>
          <w:bCs/>
          <w:iCs/>
          <w:sz w:val="24"/>
          <w:szCs w:val="24"/>
        </w:rPr>
      </w:pPr>
      <w:bookmarkStart w:id="2" w:name="_Hlk45862931"/>
      <w:r>
        <w:rPr>
          <w:rFonts w:ascii="Garamond" w:hAnsi="Garamond"/>
          <w:bCs/>
          <w:iCs/>
          <w:sz w:val="24"/>
          <w:szCs w:val="24"/>
        </w:rPr>
        <w:br w:type="page"/>
      </w:r>
    </w:p>
    <w:p w14:paraId="3FA47043" w14:textId="04376228" w:rsidR="002A2841" w:rsidRDefault="002A2841" w:rsidP="00E038C3">
      <w:pPr>
        <w:numPr>
          <w:ilvl w:val="0"/>
          <w:numId w:val="22"/>
        </w:numPr>
        <w:spacing w:after="0"/>
        <w:rPr>
          <w:rFonts w:ascii="Garamond" w:hAnsi="Garamond"/>
          <w:bCs/>
          <w:iCs/>
          <w:sz w:val="24"/>
          <w:szCs w:val="24"/>
        </w:rPr>
      </w:pPr>
      <w:r>
        <w:rPr>
          <w:rFonts w:ascii="Garamond" w:hAnsi="Garamond"/>
          <w:bCs/>
          <w:iCs/>
          <w:sz w:val="24"/>
          <w:szCs w:val="24"/>
        </w:rPr>
        <w:lastRenderedPageBreak/>
        <w:t>Please provide a project timeline, detailing e</w:t>
      </w:r>
      <w:r w:rsidRPr="00194DD8">
        <w:rPr>
          <w:rFonts w:ascii="Garamond" w:hAnsi="Garamond"/>
          <w:bCs/>
          <w:iCs/>
          <w:sz w:val="24"/>
          <w:szCs w:val="24"/>
        </w:rPr>
        <w:t>stimated time frame, duration</w:t>
      </w:r>
      <w:r>
        <w:rPr>
          <w:rFonts w:ascii="Garamond" w:hAnsi="Garamond"/>
          <w:bCs/>
          <w:iCs/>
          <w:sz w:val="24"/>
          <w:szCs w:val="24"/>
        </w:rPr>
        <w:t>,</w:t>
      </w:r>
      <w:r w:rsidRPr="00194DD8">
        <w:rPr>
          <w:rFonts w:ascii="Garamond" w:hAnsi="Garamond"/>
          <w:bCs/>
          <w:iCs/>
          <w:sz w:val="24"/>
          <w:szCs w:val="24"/>
        </w:rPr>
        <w:t xml:space="preserve"> and number of hours </w:t>
      </w:r>
      <w:r w:rsidR="00D62AD5">
        <w:rPr>
          <w:rFonts w:ascii="Garamond" w:hAnsi="Garamond"/>
          <w:bCs/>
          <w:iCs/>
          <w:sz w:val="24"/>
          <w:szCs w:val="24"/>
        </w:rPr>
        <w:t>for each of the</w:t>
      </w:r>
      <w:r>
        <w:rPr>
          <w:rFonts w:ascii="Garamond" w:hAnsi="Garamond"/>
          <w:bCs/>
          <w:iCs/>
          <w:sz w:val="24"/>
          <w:szCs w:val="24"/>
        </w:rPr>
        <w:t xml:space="preserve"> services </w:t>
      </w:r>
      <w:r w:rsidRPr="00194DD8">
        <w:rPr>
          <w:rFonts w:ascii="Garamond" w:hAnsi="Garamond"/>
          <w:bCs/>
          <w:iCs/>
          <w:sz w:val="24"/>
          <w:szCs w:val="24"/>
        </w:rPr>
        <w:t>a through e</w:t>
      </w:r>
      <w:r>
        <w:rPr>
          <w:rFonts w:ascii="Garamond" w:hAnsi="Garamond"/>
          <w:bCs/>
          <w:iCs/>
          <w:sz w:val="24"/>
          <w:szCs w:val="24"/>
        </w:rPr>
        <w:t xml:space="preserve"> in Section 2.4.2</w:t>
      </w:r>
      <w:r w:rsidRPr="00194DD8">
        <w:rPr>
          <w:rFonts w:ascii="Garamond" w:hAnsi="Garamond"/>
          <w:bCs/>
          <w:iCs/>
          <w:sz w:val="24"/>
          <w:szCs w:val="24"/>
        </w:rPr>
        <w:t>).</w:t>
      </w:r>
    </w:p>
    <w:tbl>
      <w:tblPr>
        <w:tblStyle w:val="TableGrid"/>
        <w:tblW w:w="0" w:type="auto"/>
        <w:tblInd w:w="1080" w:type="dxa"/>
        <w:tblLook w:val="04A0" w:firstRow="1" w:lastRow="0" w:firstColumn="1" w:lastColumn="0" w:noHBand="0" w:noVBand="1"/>
      </w:tblPr>
      <w:tblGrid>
        <w:gridCol w:w="9710"/>
      </w:tblGrid>
      <w:tr w:rsidR="002A2841" w14:paraId="2C63EBA9" w14:textId="77777777" w:rsidTr="008C4D96">
        <w:tc>
          <w:tcPr>
            <w:tcW w:w="10790" w:type="dxa"/>
            <w:shd w:val="clear" w:color="auto" w:fill="FFFF99"/>
          </w:tcPr>
          <w:bookmarkEnd w:id="2"/>
          <w:p w14:paraId="0615FF04" w14:textId="4676D440" w:rsidR="005E6EA2" w:rsidRPr="008E5E99" w:rsidRDefault="005E6EA2" w:rsidP="008E5E99">
            <w:pPr>
              <w:contextualSpacing/>
              <w:rPr>
                <w:rFonts w:ascii="Times New Roman" w:hAnsi="Times New Roman" w:cs="Times New Roman"/>
                <w:sz w:val="24"/>
                <w:szCs w:val="24"/>
              </w:rPr>
            </w:pPr>
            <w:r w:rsidRPr="008E5E99">
              <w:rPr>
                <w:rFonts w:ascii="Times New Roman" w:hAnsi="Times New Roman" w:cs="Times New Roman"/>
                <w:sz w:val="24"/>
                <w:szCs w:val="24"/>
              </w:rPr>
              <w:t xml:space="preserve">PCG recommends a project timeline of approximately six months, beginning October 2020 and concluding March 2021. The following </w:t>
            </w:r>
            <w:r w:rsidR="00040D43">
              <w:rPr>
                <w:rFonts w:ascii="Times New Roman" w:hAnsi="Times New Roman" w:cs="Times New Roman"/>
                <w:sz w:val="24"/>
                <w:szCs w:val="24"/>
              </w:rPr>
              <w:t>chart</w:t>
            </w:r>
            <w:r w:rsidRPr="008E5E99">
              <w:rPr>
                <w:rFonts w:ascii="Times New Roman" w:hAnsi="Times New Roman" w:cs="Times New Roman"/>
                <w:sz w:val="24"/>
                <w:szCs w:val="24"/>
              </w:rPr>
              <w:t xml:space="preserve"> summarizes the services (detailed in sections a-e) with planned timeframe</w:t>
            </w:r>
            <w:r w:rsidR="001F0CC1">
              <w:rPr>
                <w:rFonts w:ascii="Times New Roman" w:hAnsi="Times New Roman" w:cs="Times New Roman"/>
                <w:sz w:val="24"/>
                <w:szCs w:val="24"/>
              </w:rPr>
              <w:t xml:space="preserve">s and duration.  </w:t>
            </w:r>
          </w:p>
          <w:p w14:paraId="1B2B6CD2" w14:textId="77777777" w:rsidR="005E6EA2" w:rsidRPr="008E5E99" w:rsidRDefault="005E6EA2" w:rsidP="008E5E99">
            <w:pPr>
              <w:contextualSpacing/>
              <w:rPr>
                <w:rFonts w:ascii="Times New Roman" w:hAnsi="Times New Roman" w:cs="Times New Roman"/>
                <w:sz w:val="24"/>
                <w:szCs w:val="24"/>
              </w:rPr>
            </w:pPr>
          </w:p>
          <w:p w14:paraId="1CF29310" w14:textId="438A6452" w:rsidR="005B69E4" w:rsidRDefault="00B77763" w:rsidP="005B69E4">
            <w:pPr>
              <w:contextual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2D64FE75" wp14:editId="31B047DD">
                  <wp:simplePos x="0" y="0"/>
                  <wp:positionH relativeFrom="column">
                    <wp:posOffset>-64837</wp:posOffset>
                  </wp:positionH>
                  <wp:positionV relativeFrom="paragraph">
                    <wp:posOffset>3175</wp:posOffset>
                  </wp:positionV>
                  <wp:extent cx="6223067" cy="4381500"/>
                  <wp:effectExtent l="0" t="0" r="6350" b="0"/>
                  <wp:wrapSquare wrapText="bothSides"/>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_Compliance_Evaluation_RFP__Gantt Chart_Timeline-01.png"/>
                          <pic:cNvPicPr/>
                        </pic:nvPicPr>
                        <pic:blipFill>
                          <a:blip r:embed="rId11"/>
                          <a:stretch>
                            <a:fillRect/>
                          </a:stretch>
                        </pic:blipFill>
                        <pic:spPr>
                          <a:xfrm>
                            <a:off x="0" y="0"/>
                            <a:ext cx="6223643" cy="4381906"/>
                          </a:xfrm>
                          <a:prstGeom prst="rect">
                            <a:avLst/>
                          </a:prstGeom>
                        </pic:spPr>
                      </pic:pic>
                    </a:graphicData>
                  </a:graphic>
                  <wp14:sizeRelH relativeFrom="margin">
                    <wp14:pctWidth>0</wp14:pctWidth>
                  </wp14:sizeRelH>
                  <wp14:sizeRelV relativeFrom="margin">
                    <wp14:pctHeight>0</wp14:pctHeight>
                  </wp14:sizeRelV>
                </wp:anchor>
              </w:drawing>
            </w:r>
          </w:p>
          <w:p w14:paraId="2346BA9C" w14:textId="57B975B0" w:rsidR="005B69E4" w:rsidRDefault="005B69E4" w:rsidP="008E5E99">
            <w:pPr>
              <w:contextualSpacing/>
              <w:rPr>
                <w:rFonts w:ascii="Times New Roman" w:hAnsi="Times New Roman" w:cs="Times New Roman"/>
                <w:sz w:val="24"/>
                <w:szCs w:val="24"/>
              </w:rPr>
            </w:pPr>
            <w:r w:rsidRPr="4D40F77D">
              <w:rPr>
                <w:rFonts w:ascii="Times New Roman" w:hAnsi="Times New Roman" w:cs="Times New Roman"/>
                <w:sz w:val="24"/>
                <w:szCs w:val="24"/>
              </w:rPr>
              <w:t>PCG estimates a total of 45</w:t>
            </w:r>
            <w:r w:rsidR="165FB2D6" w:rsidRPr="4D40F77D">
              <w:rPr>
                <w:rFonts w:ascii="Times New Roman" w:hAnsi="Times New Roman" w:cs="Times New Roman"/>
                <w:sz w:val="24"/>
                <w:szCs w:val="24"/>
              </w:rPr>
              <w:t>6</w:t>
            </w:r>
            <w:r w:rsidRPr="4D40F77D">
              <w:rPr>
                <w:rFonts w:ascii="Times New Roman" w:hAnsi="Times New Roman" w:cs="Times New Roman"/>
                <w:sz w:val="24"/>
                <w:szCs w:val="24"/>
              </w:rPr>
              <w:t xml:space="preserve"> hours </w:t>
            </w:r>
            <w:r w:rsidR="00ED4548">
              <w:rPr>
                <w:rFonts w:ascii="Times New Roman" w:hAnsi="Times New Roman" w:cs="Times New Roman"/>
                <w:sz w:val="24"/>
                <w:szCs w:val="24"/>
              </w:rPr>
              <w:t xml:space="preserve">over a </w:t>
            </w:r>
            <w:r w:rsidR="001F0CC1">
              <w:rPr>
                <w:rFonts w:ascii="Times New Roman" w:hAnsi="Times New Roman" w:cs="Times New Roman"/>
                <w:sz w:val="24"/>
                <w:szCs w:val="24"/>
              </w:rPr>
              <w:t>6-month</w:t>
            </w:r>
            <w:r w:rsidR="00ED4548">
              <w:rPr>
                <w:rFonts w:ascii="Times New Roman" w:hAnsi="Times New Roman" w:cs="Times New Roman"/>
                <w:sz w:val="24"/>
                <w:szCs w:val="24"/>
              </w:rPr>
              <w:t xml:space="preserve"> timeline </w:t>
            </w:r>
            <w:r w:rsidRPr="4D40F77D">
              <w:rPr>
                <w:rFonts w:ascii="Times New Roman" w:hAnsi="Times New Roman" w:cs="Times New Roman"/>
                <w:sz w:val="24"/>
                <w:szCs w:val="24"/>
              </w:rPr>
              <w:t>to deliver the services outlined in the scope of work. The hours listed for each of the services below are inclusive of labor and project management hours.</w:t>
            </w:r>
          </w:p>
          <w:p w14:paraId="63144A31" w14:textId="77777777" w:rsidR="00EC7A9E" w:rsidRDefault="00EC7A9E" w:rsidP="008E5E99">
            <w:pPr>
              <w:contextualSpacing/>
              <w:rPr>
                <w:rFonts w:ascii="Times New Roman" w:hAnsi="Times New Roman" w:cs="Times New Roman"/>
                <w:sz w:val="24"/>
                <w:szCs w:val="24"/>
              </w:rPr>
            </w:pPr>
          </w:p>
          <w:tbl>
            <w:tblPr>
              <w:tblStyle w:val="TableGrid"/>
              <w:tblW w:w="0" w:type="auto"/>
              <w:tblInd w:w="3487" w:type="dxa"/>
              <w:tblLook w:val="04A0" w:firstRow="1" w:lastRow="0" w:firstColumn="1" w:lastColumn="0" w:noHBand="0" w:noVBand="1"/>
            </w:tblPr>
            <w:tblGrid>
              <w:gridCol w:w="1315"/>
              <w:gridCol w:w="1170"/>
            </w:tblGrid>
            <w:tr w:rsidR="00D23D8D" w14:paraId="7537A95B" w14:textId="77777777" w:rsidTr="4D40F77D">
              <w:tc>
                <w:tcPr>
                  <w:tcW w:w="1315" w:type="dxa"/>
                  <w:shd w:val="clear" w:color="auto" w:fill="002060"/>
                </w:tcPr>
                <w:p w14:paraId="0A241596" w14:textId="77ABE063" w:rsidR="00D23D8D" w:rsidRDefault="00F33136" w:rsidP="006A7631">
                  <w:pPr>
                    <w:contextualSpacing/>
                    <w:jc w:val="center"/>
                    <w:rPr>
                      <w:rFonts w:ascii="Times New Roman" w:hAnsi="Times New Roman" w:cs="Times New Roman"/>
                      <w:sz w:val="24"/>
                      <w:szCs w:val="24"/>
                    </w:rPr>
                  </w:pPr>
                  <w:r>
                    <w:rPr>
                      <w:rFonts w:ascii="Times New Roman" w:hAnsi="Times New Roman" w:cs="Times New Roman"/>
                      <w:sz w:val="24"/>
                      <w:szCs w:val="24"/>
                    </w:rPr>
                    <w:t>Service</w:t>
                  </w:r>
                </w:p>
              </w:tc>
              <w:tc>
                <w:tcPr>
                  <w:tcW w:w="1170" w:type="dxa"/>
                  <w:shd w:val="clear" w:color="auto" w:fill="002060"/>
                </w:tcPr>
                <w:p w14:paraId="255CD3D7" w14:textId="5F49F773" w:rsidR="00D23D8D" w:rsidRDefault="00F33136" w:rsidP="006A7631">
                  <w:pPr>
                    <w:contextualSpacing/>
                    <w:jc w:val="center"/>
                    <w:rPr>
                      <w:rFonts w:ascii="Times New Roman" w:hAnsi="Times New Roman" w:cs="Times New Roman"/>
                      <w:sz w:val="24"/>
                      <w:szCs w:val="24"/>
                    </w:rPr>
                  </w:pPr>
                  <w:r>
                    <w:rPr>
                      <w:rFonts w:ascii="Times New Roman" w:hAnsi="Times New Roman" w:cs="Times New Roman"/>
                      <w:sz w:val="24"/>
                      <w:szCs w:val="24"/>
                    </w:rPr>
                    <w:t>Hours</w:t>
                  </w:r>
                </w:p>
              </w:tc>
            </w:tr>
            <w:tr w:rsidR="00D23D8D" w14:paraId="423B7DF8" w14:textId="77777777" w:rsidTr="4D40F77D">
              <w:tc>
                <w:tcPr>
                  <w:tcW w:w="1315" w:type="dxa"/>
                  <w:shd w:val="clear" w:color="auto" w:fill="F2F2F2" w:themeFill="background1" w:themeFillShade="F2"/>
                </w:tcPr>
                <w:p w14:paraId="7369087C" w14:textId="5BE5CA4F" w:rsidR="00D23D8D" w:rsidRPr="00DC76B8" w:rsidRDefault="00ED4548" w:rsidP="00DC76B8">
                  <w:pPr>
                    <w:ind w:left="30"/>
                    <w:jc w:val="center"/>
                    <w:rPr>
                      <w:rFonts w:ascii="Times New Roman" w:hAnsi="Times New Roman"/>
                      <w:sz w:val="24"/>
                      <w:szCs w:val="24"/>
                    </w:rPr>
                  </w:pPr>
                  <w:r w:rsidRPr="00DC76B8">
                    <w:rPr>
                      <w:rFonts w:ascii="Times New Roman" w:hAnsi="Times New Roman"/>
                      <w:sz w:val="24"/>
                      <w:szCs w:val="24"/>
                    </w:rPr>
                    <w:t>Part a</w:t>
                  </w:r>
                </w:p>
              </w:tc>
              <w:tc>
                <w:tcPr>
                  <w:tcW w:w="1170" w:type="dxa"/>
                  <w:shd w:val="clear" w:color="auto" w:fill="F2F2F2" w:themeFill="background1" w:themeFillShade="F2"/>
                </w:tcPr>
                <w:p w14:paraId="1F7763C7" w14:textId="78A74CC4" w:rsidR="00D23D8D" w:rsidRDefault="53B5334B" w:rsidP="006A7631">
                  <w:pPr>
                    <w:contextualSpacing/>
                    <w:jc w:val="center"/>
                    <w:rPr>
                      <w:rFonts w:ascii="Times New Roman" w:hAnsi="Times New Roman" w:cs="Times New Roman"/>
                      <w:sz w:val="24"/>
                      <w:szCs w:val="24"/>
                    </w:rPr>
                  </w:pPr>
                  <w:r w:rsidRPr="4D40F77D">
                    <w:rPr>
                      <w:rFonts w:ascii="Times New Roman" w:hAnsi="Times New Roman" w:cs="Times New Roman"/>
                      <w:sz w:val="24"/>
                      <w:szCs w:val="24"/>
                    </w:rPr>
                    <w:t>81</w:t>
                  </w:r>
                </w:p>
              </w:tc>
            </w:tr>
            <w:tr w:rsidR="00D23D8D" w14:paraId="61F496C4" w14:textId="77777777" w:rsidTr="4D40F77D">
              <w:tc>
                <w:tcPr>
                  <w:tcW w:w="1315" w:type="dxa"/>
                  <w:shd w:val="clear" w:color="auto" w:fill="F2F2F2" w:themeFill="background1" w:themeFillShade="F2"/>
                </w:tcPr>
                <w:p w14:paraId="7F5C612A" w14:textId="34F57E36" w:rsidR="00D23D8D" w:rsidRPr="00DC76B8" w:rsidRDefault="00ED4548" w:rsidP="00DC76B8">
                  <w:pPr>
                    <w:ind w:left="30"/>
                    <w:jc w:val="center"/>
                    <w:rPr>
                      <w:rFonts w:ascii="Times New Roman" w:hAnsi="Times New Roman"/>
                      <w:sz w:val="24"/>
                      <w:szCs w:val="24"/>
                    </w:rPr>
                  </w:pPr>
                  <w:r w:rsidRPr="00DC76B8">
                    <w:rPr>
                      <w:rFonts w:ascii="Times New Roman" w:hAnsi="Times New Roman"/>
                      <w:sz w:val="24"/>
                      <w:szCs w:val="24"/>
                    </w:rPr>
                    <w:t xml:space="preserve">Part b </w:t>
                  </w:r>
                </w:p>
              </w:tc>
              <w:tc>
                <w:tcPr>
                  <w:tcW w:w="1170" w:type="dxa"/>
                  <w:shd w:val="clear" w:color="auto" w:fill="F2F2F2" w:themeFill="background1" w:themeFillShade="F2"/>
                </w:tcPr>
                <w:p w14:paraId="160892CE" w14:textId="32373BA4" w:rsidR="00D23D8D" w:rsidRDefault="6B9ED5B4" w:rsidP="006A7631">
                  <w:pPr>
                    <w:contextualSpacing/>
                    <w:jc w:val="center"/>
                    <w:rPr>
                      <w:rFonts w:ascii="Times New Roman" w:hAnsi="Times New Roman" w:cs="Times New Roman"/>
                      <w:sz w:val="24"/>
                      <w:szCs w:val="24"/>
                    </w:rPr>
                  </w:pPr>
                  <w:r w:rsidRPr="4D40F77D">
                    <w:rPr>
                      <w:rFonts w:ascii="Times New Roman" w:hAnsi="Times New Roman" w:cs="Times New Roman"/>
                      <w:sz w:val="24"/>
                      <w:szCs w:val="24"/>
                    </w:rPr>
                    <w:t>2</w:t>
                  </w:r>
                  <w:r w:rsidR="6C2B110B" w:rsidRPr="4D40F77D">
                    <w:rPr>
                      <w:rFonts w:ascii="Times New Roman" w:hAnsi="Times New Roman" w:cs="Times New Roman"/>
                      <w:sz w:val="24"/>
                      <w:szCs w:val="24"/>
                    </w:rPr>
                    <w:t>8</w:t>
                  </w:r>
                </w:p>
              </w:tc>
            </w:tr>
            <w:tr w:rsidR="00D23D8D" w14:paraId="7BF39A3B" w14:textId="77777777" w:rsidTr="4D40F77D">
              <w:tc>
                <w:tcPr>
                  <w:tcW w:w="1315" w:type="dxa"/>
                  <w:shd w:val="clear" w:color="auto" w:fill="F2F2F2" w:themeFill="background1" w:themeFillShade="F2"/>
                </w:tcPr>
                <w:p w14:paraId="7F48C44D" w14:textId="7EDDED1E" w:rsidR="00D23D8D" w:rsidRPr="00DC76B8" w:rsidRDefault="00ED4548" w:rsidP="00DC76B8">
                  <w:pPr>
                    <w:ind w:left="30"/>
                    <w:jc w:val="center"/>
                    <w:rPr>
                      <w:rFonts w:ascii="Times New Roman" w:hAnsi="Times New Roman"/>
                      <w:sz w:val="24"/>
                      <w:szCs w:val="24"/>
                    </w:rPr>
                  </w:pPr>
                  <w:r w:rsidRPr="00DC76B8">
                    <w:rPr>
                      <w:rFonts w:ascii="Times New Roman" w:hAnsi="Times New Roman"/>
                      <w:sz w:val="24"/>
                      <w:szCs w:val="24"/>
                    </w:rPr>
                    <w:t>Part c</w:t>
                  </w:r>
                </w:p>
              </w:tc>
              <w:tc>
                <w:tcPr>
                  <w:tcW w:w="1170" w:type="dxa"/>
                  <w:shd w:val="clear" w:color="auto" w:fill="F2F2F2" w:themeFill="background1" w:themeFillShade="F2"/>
                </w:tcPr>
                <w:p w14:paraId="259FBBC7" w14:textId="055D5856" w:rsidR="00D23D8D" w:rsidRDefault="6B9ED5B4" w:rsidP="006A7631">
                  <w:pPr>
                    <w:contextualSpacing/>
                    <w:jc w:val="center"/>
                    <w:rPr>
                      <w:rFonts w:ascii="Times New Roman" w:hAnsi="Times New Roman" w:cs="Times New Roman"/>
                      <w:sz w:val="24"/>
                      <w:szCs w:val="24"/>
                    </w:rPr>
                  </w:pPr>
                  <w:r w:rsidRPr="4D40F77D">
                    <w:rPr>
                      <w:rFonts w:ascii="Times New Roman" w:hAnsi="Times New Roman" w:cs="Times New Roman"/>
                      <w:sz w:val="24"/>
                      <w:szCs w:val="24"/>
                    </w:rPr>
                    <w:t>2</w:t>
                  </w:r>
                  <w:r w:rsidR="61473026" w:rsidRPr="4D40F77D">
                    <w:rPr>
                      <w:rFonts w:ascii="Times New Roman" w:hAnsi="Times New Roman" w:cs="Times New Roman"/>
                      <w:sz w:val="24"/>
                      <w:szCs w:val="24"/>
                    </w:rPr>
                    <w:t>5</w:t>
                  </w:r>
                </w:p>
              </w:tc>
            </w:tr>
            <w:tr w:rsidR="00D23D8D" w14:paraId="6099D092" w14:textId="77777777" w:rsidTr="4D40F77D">
              <w:tc>
                <w:tcPr>
                  <w:tcW w:w="1315" w:type="dxa"/>
                  <w:shd w:val="clear" w:color="auto" w:fill="F2F2F2" w:themeFill="background1" w:themeFillShade="F2"/>
                </w:tcPr>
                <w:p w14:paraId="4B70BA93" w14:textId="243CE7D4" w:rsidR="00D23D8D" w:rsidRPr="00DC76B8" w:rsidRDefault="00ED4548" w:rsidP="00DC76B8">
                  <w:pPr>
                    <w:ind w:left="30"/>
                    <w:jc w:val="center"/>
                    <w:rPr>
                      <w:rFonts w:ascii="Times New Roman" w:hAnsi="Times New Roman"/>
                      <w:sz w:val="24"/>
                      <w:szCs w:val="24"/>
                    </w:rPr>
                  </w:pPr>
                  <w:r w:rsidRPr="00DC76B8">
                    <w:rPr>
                      <w:rFonts w:ascii="Times New Roman" w:hAnsi="Times New Roman"/>
                      <w:sz w:val="24"/>
                      <w:szCs w:val="24"/>
                    </w:rPr>
                    <w:t xml:space="preserve">Part d </w:t>
                  </w:r>
                </w:p>
              </w:tc>
              <w:tc>
                <w:tcPr>
                  <w:tcW w:w="1170" w:type="dxa"/>
                  <w:shd w:val="clear" w:color="auto" w:fill="F2F2F2" w:themeFill="background1" w:themeFillShade="F2"/>
                </w:tcPr>
                <w:p w14:paraId="3EB27E08" w14:textId="11DA73CE" w:rsidR="00D23D8D" w:rsidRDefault="6B9ED5B4" w:rsidP="006A7631">
                  <w:pPr>
                    <w:contextualSpacing/>
                    <w:jc w:val="center"/>
                    <w:rPr>
                      <w:rFonts w:ascii="Times New Roman" w:hAnsi="Times New Roman" w:cs="Times New Roman"/>
                      <w:sz w:val="24"/>
                      <w:szCs w:val="24"/>
                    </w:rPr>
                  </w:pPr>
                  <w:r w:rsidRPr="4D40F77D">
                    <w:rPr>
                      <w:rFonts w:ascii="Times New Roman" w:hAnsi="Times New Roman" w:cs="Times New Roman"/>
                      <w:sz w:val="24"/>
                      <w:szCs w:val="24"/>
                    </w:rPr>
                    <w:t>1</w:t>
                  </w:r>
                  <w:r w:rsidR="54831A20" w:rsidRPr="4D40F77D">
                    <w:rPr>
                      <w:rFonts w:ascii="Times New Roman" w:hAnsi="Times New Roman" w:cs="Times New Roman"/>
                      <w:sz w:val="24"/>
                      <w:szCs w:val="24"/>
                    </w:rPr>
                    <w:t>41</w:t>
                  </w:r>
                </w:p>
              </w:tc>
            </w:tr>
            <w:tr w:rsidR="00D23D8D" w14:paraId="2D9B7B74" w14:textId="77777777" w:rsidTr="4D40F77D">
              <w:tc>
                <w:tcPr>
                  <w:tcW w:w="1315" w:type="dxa"/>
                  <w:shd w:val="clear" w:color="auto" w:fill="F2F2F2" w:themeFill="background1" w:themeFillShade="F2"/>
                </w:tcPr>
                <w:p w14:paraId="07E35ED0" w14:textId="1992FE12" w:rsidR="00D23D8D" w:rsidRPr="00DC76B8" w:rsidRDefault="00ED4548" w:rsidP="00DC76B8">
                  <w:pPr>
                    <w:ind w:left="30"/>
                    <w:jc w:val="center"/>
                    <w:rPr>
                      <w:rFonts w:ascii="Times New Roman" w:hAnsi="Times New Roman"/>
                      <w:sz w:val="24"/>
                      <w:szCs w:val="24"/>
                    </w:rPr>
                  </w:pPr>
                  <w:r w:rsidRPr="00DC76B8">
                    <w:rPr>
                      <w:rFonts w:ascii="Times New Roman" w:hAnsi="Times New Roman"/>
                      <w:sz w:val="24"/>
                      <w:szCs w:val="24"/>
                    </w:rPr>
                    <w:t xml:space="preserve">Part e </w:t>
                  </w:r>
                </w:p>
              </w:tc>
              <w:tc>
                <w:tcPr>
                  <w:tcW w:w="1170" w:type="dxa"/>
                  <w:shd w:val="clear" w:color="auto" w:fill="F2F2F2" w:themeFill="background1" w:themeFillShade="F2"/>
                </w:tcPr>
                <w:p w14:paraId="38B90903" w14:textId="31616893" w:rsidR="00D23D8D" w:rsidRDefault="6B9ED5B4" w:rsidP="006A7631">
                  <w:pPr>
                    <w:contextualSpacing/>
                    <w:jc w:val="center"/>
                    <w:rPr>
                      <w:rFonts w:ascii="Times New Roman" w:hAnsi="Times New Roman" w:cs="Times New Roman"/>
                      <w:sz w:val="24"/>
                      <w:szCs w:val="24"/>
                    </w:rPr>
                  </w:pPr>
                  <w:r w:rsidRPr="4D40F77D">
                    <w:rPr>
                      <w:rFonts w:ascii="Times New Roman" w:hAnsi="Times New Roman" w:cs="Times New Roman"/>
                      <w:sz w:val="24"/>
                      <w:szCs w:val="24"/>
                    </w:rPr>
                    <w:t>2</w:t>
                  </w:r>
                  <w:r w:rsidR="6605A199" w:rsidRPr="4D40F77D">
                    <w:rPr>
                      <w:rFonts w:ascii="Times New Roman" w:hAnsi="Times New Roman" w:cs="Times New Roman"/>
                      <w:sz w:val="24"/>
                      <w:szCs w:val="24"/>
                    </w:rPr>
                    <w:t>81</w:t>
                  </w:r>
                </w:p>
              </w:tc>
            </w:tr>
            <w:tr w:rsidR="00F33136" w14:paraId="24595E83" w14:textId="77777777" w:rsidTr="4D40F77D">
              <w:tc>
                <w:tcPr>
                  <w:tcW w:w="1315" w:type="dxa"/>
                  <w:shd w:val="clear" w:color="auto" w:fill="A6A6A6" w:themeFill="background1" w:themeFillShade="A6"/>
                </w:tcPr>
                <w:p w14:paraId="11D0F10C" w14:textId="2CD6FA97" w:rsidR="00F33136" w:rsidRPr="006A7631" w:rsidRDefault="00F33136" w:rsidP="006A7631">
                  <w:pPr>
                    <w:contextualSpacing/>
                    <w:jc w:val="center"/>
                    <w:rPr>
                      <w:rFonts w:ascii="Times New Roman" w:hAnsi="Times New Roman" w:cs="Times New Roman"/>
                      <w:b/>
                      <w:sz w:val="24"/>
                      <w:szCs w:val="24"/>
                    </w:rPr>
                  </w:pPr>
                  <w:r w:rsidRPr="006A7631">
                    <w:rPr>
                      <w:rFonts w:ascii="Times New Roman" w:hAnsi="Times New Roman" w:cs="Times New Roman"/>
                      <w:b/>
                      <w:sz w:val="24"/>
                      <w:szCs w:val="24"/>
                    </w:rPr>
                    <w:t>Total</w:t>
                  </w:r>
                </w:p>
              </w:tc>
              <w:tc>
                <w:tcPr>
                  <w:tcW w:w="1170" w:type="dxa"/>
                  <w:shd w:val="clear" w:color="auto" w:fill="A6A6A6" w:themeFill="background1" w:themeFillShade="A6"/>
                </w:tcPr>
                <w:p w14:paraId="17BC0D5D" w14:textId="55C927CA" w:rsidR="00F33136" w:rsidRPr="006A7631" w:rsidRDefault="6B9ED5B4" w:rsidP="4D40F77D">
                  <w:pPr>
                    <w:contextualSpacing/>
                    <w:jc w:val="center"/>
                    <w:rPr>
                      <w:rFonts w:ascii="Times New Roman" w:hAnsi="Times New Roman" w:cs="Times New Roman"/>
                      <w:b/>
                      <w:bCs/>
                      <w:sz w:val="24"/>
                      <w:szCs w:val="24"/>
                    </w:rPr>
                  </w:pPr>
                  <w:r w:rsidRPr="4D40F77D">
                    <w:rPr>
                      <w:rFonts w:ascii="Times New Roman" w:hAnsi="Times New Roman" w:cs="Times New Roman"/>
                      <w:b/>
                      <w:bCs/>
                      <w:sz w:val="24"/>
                      <w:szCs w:val="24"/>
                    </w:rPr>
                    <w:t>45</w:t>
                  </w:r>
                  <w:r w:rsidR="683D0F78" w:rsidRPr="4D40F77D">
                    <w:rPr>
                      <w:rFonts w:ascii="Times New Roman" w:hAnsi="Times New Roman" w:cs="Times New Roman"/>
                      <w:b/>
                      <w:bCs/>
                      <w:sz w:val="24"/>
                      <w:szCs w:val="24"/>
                    </w:rPr>
                    <w:t>6</w:t>
                  </w:r>
                </w:p>
              </w:tc>
            </w:tr>
          </w:tbl>
          <w:p w14:paraId="7E375925" w14:textId="6719321D" w:rsidR="002A2841" w:rsidRPr="008E5E99" w:rsidRDefault="002A2841" w:rsidP="008C4D96">
            <w:pPr>
              <w:contextualSpacing/>
              <w:rPr>
                <w:rFonts w:ascii="Times New Roman" w:hAnsi="Times New Roman" w:cs="Times New Roman"/>
                <w:sz w:val="24"/>
                <w:szCs w:val="24"/>
              </w:rPr>
            </w:pPr>
          </w:p>
        </w:tc>
      </w:tr>
    </w:tbl>
    <w:p w14:paraId="40E2297B" w14:textId="0D6F8594" w:rsidR="002A2841" w:rsidRDefault="002A2841" w:rsidP="002A2841">
      <w:pPr>
        <w:spacing w:after="0"/>
        <w:ind w:left="1080"/>
        <w:rPr>
          <w:rFonts w:ascii="Garamond" w:hAnsi="Garamond"/>
          <w:bCs/>
          <w:iCs/>
          <w:sz w:val="24"/>
          <w:szCs w:val="24"/>
        </w:rPr>
      </w:pPr>
    </w:p>
    <w:p w14:paraId="2B82C820" w14:textId="36DFB80C" w:rsidR="00194DD8" w:rsidRPr="00194DD8" w:rsidRDefault="00194DD8" w:rsidP="00E038C3">
      <w:pPr>
        <w:numPr>
          <w:ilvl w:val="0"/>
          <w:numId w:val="22"/>
        </w:numPr>
        <w:spacing w:after="0"/>
        <w:rPr>
          <w:rFonts w:ascii="Garamond" w:hAnsi="Garamond"/>
          <w:bCs/>
          <w:iCs/>
          <w:sz w:val="24"/>
          <w:szCs w:val="24"/>
        </w:rPr>
      </w:pPr>
      <w:r w:rsidRPr="00194DD8">
        <w:rPr>
          <w:rFonts w:ascii="Garamond" w:hAnsi="Garamond"/>
          <w:bCs/>
          <w:iCs/>
          <w:sz w:val="24"/>
          <w:szCs w:val="24"/>
        </w:rPr>
        <w:t>Please provide a detailed description of the proposed management approach to be taken for the performance of the services proposed. Factors shall include, but are not limited to:</w:t>
      </w:r>
    </w:p>
    <w:p w14:paraId="534431F7" w14:textId="77777777" w:rsidR="00194DD8" w:rsidRPr="00194DD8" w:rsidRDefault="00194DD8" w:rsidP="00E038C3">
      <w:pPr>
        <w:numPr>
          <w:ilvl w:val="1"/>
          <w:numId w:val="22"/>
        </w:numPr>
        <w:spacing w:after="0"/>
        <w:rPr>
          <w:rFonts w:ascii="Garamond" w:hAnsi="Garamond"/>
          <w:bCs/>
          <w:iCs/>
          <w:sz w:val="24"/>
          <w:szCs w:val="24"/>
        </w:rPr>
      </w:pPr>
      <w:r w:rsidRPr="00194DD8">
        <w:rPr>
          <w:rFonts w:ascii="Garamond" w:hAnsi="Garamond"/>
          <w:bCs/>
          <w:iCs/>
          <w:sz w:val="24"/>
          <w:szCs w:val="24"/>
        </w:rPr>
        <w:t>Proposed approach for managing communications and information gathering with DWD;</w:t>
      </w:r>
    </w:p>
    <w:p w14:paraId="7A3DAF5D" w14:textId="77777777" w:rsidR="00194DD8" w:rsidRPr="00194DD8" w:rsidRDefault="00194DD8" w:rsidP="00E038C3">
      <w:pPr>
        <w:numPr>
          <w:ilvl w:val="1"/>
          <w:numId w:val="22"/>
        </w:numPr>
        <w:spacing w:after="0"/>
        <w:rPr>
          <w:rFonts w:ascii="Garamond" w:hAnsi="Garamond"/>
          <w:bCs/>
          <w:iCs/>
          <w:sz w:val="24"/>
          <w:szCs w:val="24"/>
        </w:rPr>
      </w:pPr>
      <w:r w:rsidRPr="00194DD8">
        <w:rPr>
          <w:rFonts w:ascii="Garamond" w:hAnsi="Garamond"/>
          <w:bCs/>
          <w:iCs/>
          <w:sz w:val="24"/>
          <w:szCs w:val="24"/>
        </w:rPr>
        <w:t>Your organization’s standard process for problem resolution, including standard response times and description of the escalation process if the standard resolution process cannot resolve an issue;</w:t>
      </w:r>
    </w:p>
    <w:p w14:paraId="2B7D6C70" w14:textId="77777777" w:rsidR="00194DD8" w:rsidRPr="00194DD8" w:rsidRDefault="00194DD8" w:rsidP="00E038C3">
      <w:pPr>
        <w:numPr>
          <w:ilvl w:val="1"/>
          <w:numId w:val="22"/>
        </w:numPr>
        <w:spacing w:after="0"/>
        <w:rPr>
          <w:rFonts w:ascii="Garamond" w:hAnsi="Garamond"/>
          <w:bCs/>
          <w:iCs/>
          <w:sz w:val="24"/>
          <w:szCs w:val="24"/>
        </w:rPr>
      </w:pPr>
      <w:r w:rsidRPr="00194DD8">
        <w:rPr>
          <w:rFonts w:ascii="Garamond" w:hAnsi="Garamond"/>
          <w:bCs/>
          <w:iCs/>
          <w:sz w:val="24"/>
          <w:szCs w:val="24"/>
        </w:rPr>
        <w:lastRenderedPageBreak/>
        <w:t>Proposed approach and schedule for keeping DWD timely apprised of project status;</w:t>
      </w:r>
    </w:p>
    <w:p w14:paraId="05B5BCAA" w14:textId="77777777" w:rsidR="00194DD8" w:rsidRPr="00194DD8" w:rsidRDefault="00194DD8" w:rsidP="00E038C3">
      <w:pPr>
        <w:numPr>
          <w:ilvl w:val="1"/>
          <w:numId w:val="22"/>
        </w:numPr>
        <w:spacing w:after="0"/>
        <w:rPr>
          <w:rFonts w:ascii="Garamond" w:hAnsi="Garamond"/>
          <w:bCs/>
          <w:iCs/>
          <w:sz w:val="24"/>
          <w:szCs w:val="24"/>
        </w:rPr>
      </w:pPr>
      <w:r w:rsidRPr="00194DD8">
        <w:rPr>
          <w:rFonts w:ascii="Garamond" w:hAnsi="Garamond"/>
          <w:bCs/>
          <w:iCs/>
          <w:sz w:val="24"/>
          <w:szCs w:val="24"/>
        </w:rPr>
        <w:t>Proposed approach to ensuring the quality of the work product to be produced; and</w:t>
      </w:r>
    </w:p>
    <w:p w14:paraId="28136D2C" w14:textId="77777777" w:rsidR="00194DD8" w:rsidRPr="00194DD8" w:rsidRDefault="00194DD8" w:rsidP="00E038C3">
      <w:pPr>
        <w:numPr>
          <w:ilvl w:val="1"/>
          <w:numId w:val="22"/>
        </w:numPr>
        <w:spacing w:after="0"/>
        <w:rPr>
          <w:rFonts w:ascii="Garamond" w:hAnsi="Garamond"/>
          <w:bCs/>
          <w:iCs/>
          <w:sz w:val="24"/>
          <w:szCs w:val="24"/>
        </w:rPr>
      </w:pPr>
      <w:r w:rsidRPr="00194DD8">
        <w:rPr>
          <w:rFonts w:ascii="Garamond" w:hAnsi="Garamond"/>
          <w:bCs/>
          <w:iCs/>
          <w:sz w:val="24"/>
          <w:szCs w:val="24"/>
        </w:rPr>
        <w:t>Practices and procedures your organization follows to control the costs of services and stay within budget.</w:t>
      </w:r>
    </w:p>
    <w:tbl>
      <w:tblPr>
        <w:tblStyle w:val="TableGrid"/>
        <w:tblW w:w="0" w:type="auto"/>
        <w:tblInd w:w="1080" w:type="dxa"/>
        <w:tblLook w:val="04A0" w:firstRow="1" w:lastRow="0" w:firstColumn="1" w:lastColumn="0" w:noHBand="0" w:noVBand="1"/>
      </w:tblPr>
      <w:tblGrid>
        <w:gridCol w:w="9710"/>
      </w:tblGrid>
      <w:tr w:rsidR="007B1E94" w14:paraId="51AF4DFC" w14:textId="77777777" w:rsidTr="008C4D96">
        <w:tc>
          <w:tcPr>
            <w:tcW w:w="10790" w:type="dxa"/>
            <w:shd w:val="clear" w:color="auto" w:fill="FFFF99"/>
          </w:tcPr>
          <w:p w14:paraId="67BCAC6F" w14:textId="77777777" w:rsidR="00D717F1" w:rsidRPr="00FC5114" w:rsidRDefault="00D717F1" w:rsidP="00FC5114">
            <w:pPr>
              <w:contextualSpacing/>
              <w:jc w:val="both"/>
              <w:rPr>
                <w:rFonts w:ascii="Times New Roman" w:hAnsi="Times New Roman" w:cs="Times New Roman"/>
                <w:bCs/>
                <w:sz w:val="24"/>
                <w:szCs w:val="24"/>
              </w:rPr>
            </w:pPr>
            <w:bookmarkStart w:id="3" w:name="_Hlk45016344"/>
            <w:r w:rsidRPr="00FC5114">
              <w:rPr>
                <w:rFonts w:ascii="Times New Roman" w:hAnsi="Times New Roman" w:cs="Times New Roman"/>
                <w:bCs/>
                <w:sz w:val="24"/>
                <w:szCs w:val="24"/>
              </w:rPr>
              <w:t>PCG has developed a proven project management approach that standardizes project structure, terminology, and project management techniques across our consulting practices. Through this methodology, project teams understand the expected milestones and deliverables within any given phase of any project. The overarching principles adhered to by the project manager are to:</w:t>
            </w:r>
          </w:p>
          <w:p w14:paraId="4C300D5E" w14:textId="77777777" w:rsidR="00D717F1" w:rsidRPr="00FC5114" w:rsidRDefault="00D717F1" w:rsidP="00E038C3">
            <w:pPr>
              <w:pStyle w:val="ListParagraph"/>
              <w:numPr>
                <w:ilvl w:val="0"/>
                <w:numId w:val="29"/>
              </w:numPr>
              <w:jc w:val="both"/>
              <w:rPr>
                <w:rFonts w:ascii="Times New Roman" w:hAnsi="Times New Roman"/>
                <w:bCs/>
                <w:sz w:val="24"/>
                <w:szCs w:val="24"/>
              </w:rPr>
            </w:pPr>
            <w:r w:rsidRPr="00FC5114">
              <w:rPr>
                <w:rFonts w:ascii="Times New Roman" w:hAnsi="Times New Roman"/>
                <w:bCs/>
                <w:sz w:val="24"/>
                <w:szCs w:val="24"/>
              </w:rPr>
              <w:t xml:space="preserve">Maintain a </w:t>
            </w:r>
            <w:r w:rsidRPr="00FC5114">
              <w:rPr>
                <w:rFonts w:ascii="Times New Roman" w:hAnsi="Times New Roman"/>
                <w:b/>
                <w:sz w:val="24"/>
                <w:szCs w:val="24"/>
              </w:rPr>
              <w:t>proactive approach</w:t>
            </w:r>
            <w:r w:rsidRPr="00FC5114">
              <w:rPr>
                <w:rFonts w:ascii="Times New Roman" w:hAnsi="Times New Roman"/>
                <w:bCs/>
                <w:sz w:val="24"/>
                <w:szCs w:val="24"/>
              </w:rPr>
              <w:t xml:space="preserve"> to identifying and overcoming risks and obstacles to completing the project successfully and on time;</w:t>
            </w:r>
          </w:p>
          <w:p w14:paraId="6A7DB054" w14:textId="77777777" w:rsidR="00D717F1" w:rsidRPr="00FC5114" w:rsidRDefault="00D717F1" w:rsidP="00E038C3">
            <w:pPr>
              <w:pStyle w:val="ListParagraph"/>
              <w:numPr>
                <w:ilvl w:val="0"/>
                <w:numId w:val="29"/>
              </w:numPr>
              <w:jc w:val="both"/>
              <w:rPr>
                <w:rFonts w:ascii="Times New Roman" w:hAnsi="Times New Roman"/>
                <w:bCs/>
                <w:sz w:val="24"/>
                <w:szCs w:val="24"/>
              </w:rPr>
            </w:pPr>
            <w:r w:rsidRPr="00FC5114">
              <w:rPr>
                <w:rFonts w:ascii="Times New Roman" w:hAnsi="Times New Roman"/>
                <w:bCs/>
                <w:sz w:val="24"/>
                <w:szCs w:val="24"/>
              </w:rPr>
              <w:t xml:space="preserve">Create a </w:t>
            </w:r>
            <w:r w:rsidRPr="00FC5114">
              <w:rPr>
                <w:rFonts w:ascii="Times New Roman" w:hAnsi="Times New Roman"/>
                <w:b/>
                <w:sz w:val="24"/>
                <w:szCs w:val="24"/>
              </w:rPr>
              <w:t>collaborative and transparent</w:t>
            </w:r>
            <w:r w:rsidRPr="00FC5114">
              <w:rPr>
                <w:rFonts w:ascii="Times New Roman" w:hAnsi="Times New Roman"/>
                <w:bCs/>
                <w:sz w:val="24"/>
                <w:szCs w:val="24"/>
              </w:rPr>
              <w:t xml:space="preserve"> process with DWD so that you can thoughtfully participate in key project decisions and so that there are no surprises;</w:t>
            </w:r>
          </w:p>
          <w:p w14:paraId="72E276E8" w14:textId="77777777" w:rsidR="00D717F1" w:rsidRPr="00FC5114" w:rsidRDefault="00D717F1" w:rsidP="00E038C3">
            <w:pPr>
              <w:pStyle w:val="ListParagraph"/>
              <w:numPr>
                <w:ilvl w:val="0"/>
                <w:numId w:val="29"/>
              </w:numPr>
              <w:jc w:val="both"/>
              <w:rPr>
                <w:rFonts w:ascii="Times New Roman" w:hAnsi="Times New Roman"/>
                <w:bCs/>
                <w:sz w:val="24"/>
                <w:szCs w:val="24"/>
              </w:rPr>
            </w:pPr>
            <w:r w:rsidRPr="00FC5114">
              <w:rPr>
                <w:rFonts w:ascii="Times New Roman" w:hAnsi="Times New Roman"/>
                <w:bCs/>
                <w:sz w:val="24"/>
                <w:szCs w:val="24"/>
              </w:rPr>
              <w:t xml:space="preserve">Establish an </w:t>
            </w:r>
            <w:r w:rsidRPr="00FC5114">
              <w:rPr>
                <w:rFonts w:ascii="Times New Roman" w:hAnsi="Times New Roman"/>
                <w:b/>
                <w:sz w:val="24"/>
                <w:szCs w:val="24"/>
              </w:rPr>
              <w:t>effective communication process</w:t>
            </w:r>
            <w:r w:rsidRPr="00FC5114">
              <w:rPr>
                <w:rFonts w:ascii="Times New Roman" w:hAnsi="Times New Roman"/>
                <w:bCs/>
                <w:sz w:val="24"/>
                <w:szCs w:val="24"/>
              </w:rPr>
              <w:t xml:space="preserve"> with DWD staff and stakeholders</w:t>
            </w:r>
          </w:p>
          <w:p w14:paraId="74F88DCD" w14:textId="77777777" w:rsidR="00D717F1" w:rsidRPr="00FC5114" w:rsidRDefault="00D717F1" w:rsidP="00E038C3">
            <w:pPr>
              <w:pStyle w:val="ListParagraph"/>
              <w:numPr>
                <w:ilvl w:val="0"/>
                <w:numId w:val="29"/>
              </w:numPr>
              <w:jc w:val="both"/>
              <w:rPr>
                <w:rFonts w:ascii="Times New Roman" w:hAnsi="Times New Roman"/>
                <w:bCs/>
                <w:sz w:val="24"/>
                <w:szCs w:val="24"/>
              </w:rPr>
            </w:pPr>
            <w:r w:rsidRPr="00FC5114">
              <w:rPr>
                <w:rFonts w:ascii="Times New Roman" w:hAnsi="Times New Roman"/>
                <w:bCs/>
                <w:sz w:val="24"/>
                <w:szCs w:val="24"/>
              </w:rPr>
              <w:t xml:space="preserve">Convene </w:t>
            </w:r>
            <w:r w:rsidRPr="00FC5114">
              <w:rPr>
                <w:rFonts w:ascii="Times New Roman" w:hAnsi="Times New Roman"/>
                <w:b/>
                <w:sz w:val="24"/>
                <w:szCs w:val="24"/>
              </w:rPr>
              <w:t>regular status meetings</w:t>
            </w:r>
            <w:r w:rsidRPr="00FC5114">
              <w:rPr>
                <w:rFonts w:ascii="Times New Roman" w:hAnsi="Times New Roman"/>
                <w:bCs/>
                <w:sz w:val="24"/>
                <w:szCs w:val="24"/>
              </w:rPr>
              <w:t xml:space="preserve"> to review project progress, milestones achieved, issues/risks, and next steps. </w:t>
            </w:r>
          </w:p>
          <w:p w14:paraId="7E64E47C" w14:textId="77777777" w:rsidR="00D717F1" w:rsidRPr="00FC5114" w:rsidRDefault="00D717F1" w:rsidP="00FC5114">
            <w:pPr>
              <w:spacing w:line="276" w:lineRule="auto"/>
              <w:contextualSpacing/>
              <w:rPr>
                <w:rFonts w:ascii="Times New Roman" w:hAnsi="Times New Roman" w:cs="Times New Roman"/>
                <w:bCs/>
                <w:iCs/>
                <w:sz w:val="24"/>
                <w:szCs w:val="24"/>
              </w:rPr>
            </w:pPr>
          </w:p>
          <w:p w14:paraId="7F9E625A" w14:textId="77777777" w:rsidR="00D717F1" w:rsidRPr="00FC5114" w:rsidRDefault="00D717F1" w:rsidP="00FC5114">
            <w:pPr>
              <w:contextualSpacing/>
              <w:jc w:val="both"/>
              <w:rPr>
                <w:rFonts w:ascii="Times New Roman" w:hAnsi="Times New Roman" w:cs="Times New Roman"/>
                <w:bCs/>
                <w:sz w:val="24"/>
                <w:szCs w:val="24"/>
              </w:rPr>
            </w:pPr>
            <w:r w:rsidRPr="00FC5114">
              <w:rPr>
                <w:rFonts w:ascii="Times New Roman" w:hAnsi="Times New Roman" w:cs="Times New Roman"/>
                <w:bCs/>
                <w:sz w:val="24"/>
                <w:szCs w:val="24"/>
              </w:rPr>
              <w:t xml:space="preserve">In each phase of the project management approach, PCG’s project manager will review the needs and goals of the project to make sure they are being met, plan for the activities of both the current and future phases, execute project tasks, and evaluate the overall success of the project. PCG’s methodology also allows for us to regularly evaluate our outcomes (did we achieve the goals established in the Project Plan? Are income certifications meeting timeliness and accuracy benchmarks?) and adjust if necessary. </w:t>
            </w:r>
          </w:p>
          <w:p w14:paraId="1B679B31" w14:textId="77777777" w:rsidR="008C719A" w:rsidRDefault="008C719A" w:rsidP="00FC5114">
            <w:pPr>
              <w:contextualSpacing/>
              <w:jc w:val="both"/>
              <w:rPr>
                <w:rFonts w:ascii="Times New Roman" w:hAnsi="Times New Roman" w:cs="Times New Roman"/>
                <w:bCs/>
                <w:sz w:val="24"/>
                <w:szCs w:val="24"/>
              </w:rPr>
            </w:pPr>
          </w:p>
          <w:p w14:paraId="7A3019E4" w14:textId="70B95E2C" w:rsidR="00D717F1" w:rsidRPr="00FC5114" w:rsidRDefault="00D717F1" w:rsidP="00FC5114">
            <w:pPr>
              <w:contextualSpacing/>
              <w:jc w:val="both"/>
              <w:rPr>
                <w:rFonts w:ascii="Times New Roman" w:hAnsi="Times New Roman" w:cs="Times New Roman"/>
                <w:bCs/>
                <w:sz w:val="24"/>
                <w:szCs w:val="24"/>
              </w:rPr>
            </w:pPr>
            <w:r w:rsidRPr="00FC5114">
              <w:rPr>
                <w:rFonts w:ascii="Times New Roman" w:hAnsi="Times New Roman" w:cs="Times New Roman"/>
                <w:bCs/>
                <w:sz w:val="24"/>
                <w:szCs w:val="24"/>
              </w:rPr>
              <w:t>Project management for this engagement will include the following specific actions</w:t>
            </w:r>
            <w:r w:rsidR="008C719A">
              <w:rPr>
                <w:rFonts w:ascii="Times New Roman" w:hAnsi="Times New Roman" w:cs="Times New Roman"/>
                <w:bCs/>
                <w:sz w:val="24"/>
                <w:szCs w:val="24"/>
              </w:rPr>
              <w:t>:</w:t>
            </w:r>
          </w:p>
          <w:p w14:paraId="225E4221" w14:textId="77777777" w:rsidR="00D717F1" w:rsidRPr="00FC5114" w:rsidRDefault="00D717F1" w:rsidP="00E038C3">
            <w:pPr>
              <w:pStyle w:val="ListParagraph"/>
              <w:numPr>
                <w:ilvl w:val="0"/>
                <w:numId w:val="30"/>
              </w:numPr>
              <w:jc w:val="both"/>
              <w:rPr>
                <w:rFonts w:ascii="Times New Roman" w:hAnsi="Times New Roman"/>
                <w:bCs/>
                <w:sz w:val="24"/>
                <w:szCs w:val="24"/>
              </w:rPr>
            </w:pPr>
            <w:r w:rsidRPr="00FC5114">
              <w:rPr>
                <w:rFonts w:ascii="Times New Roman" w:hAnsi="Times New Roman"/>
                <w:bCs/>
                <w:sz w:val="24"/>
                <w:szCs w:val="24"/>
              </w:rPr>
              <w:t>Preparing status meeting agendas and any other related materials;</w:t>
            </w:r>
          </w:p>
          <w:p w14:paraId="151BC109" w14:textId="77777777" w:rsidR="00D717F1" w:rsidRPr="00FC5114" w:rsidRDefault="00D717F1" w:rsidP="00E038C3">
            <w:pPr>
              <w:pStyle w:val="ListParagraph"/>
              <w:numPr>
                <w:ilvl w:val="0"/>
                <w:numId w:val="30"/>
              </w:numPr>
              <w:jc w:val="both"/>
              <w:rPr>
                <w:rFonts w:ascii="Times New Roman" w:hAnsi="Times New Roman"/>
                <w:bCs/>
                <w:sz w:val="24"/>
                <w:szCs w:val="24"/>
              </w:rPr>
            </w:pPr>
            <w:r w:rsidRPr="00FC5114">
              <w:rPr>
                <w:rFonts w:ascii="Times New Roman" w:hAnsi="Times New Roman"/>
                <w:bCs/>
                <w:sz w:val="24"/>
                <w:szCs w:val="24"/>
              </w:rPr>
              <w:t>Attending and facilitating status meetings;</w:t>
            </w:r>
          </w:p>
          <w:p w14:paraId="64C92FF6" w14:textId="77777777" w:rsidR="00D717F1" w:rsidRPr="00FC5114" w:rsidRDefault="00D717F1" w:rsidP="00E038C3">
            <w:pPr>
              <w:pStyle w:val="ListParagraph"/>
              <w:numPr>
                <w:ilvl w:val="0"/>
                <w:numId w:val="30"/>
              </w:numPr>
              <w:jc w:val="both"/>
              <w:rPr>
                <w:rFonts w:ascii="Times New Roman" w:hAnsi="Times New Roman"/>
                <w:bCs/>
                <w:sz w:val="24"/>
                <w:szCs w:val="24"/>
              </w:rPr>
            </w:pPr>
            <w:r w:rsidRPr="00FC5114">
              <w:rPr>
                <w:rFonts w:ascii="Times New Roman" w:hAnsi="Times New Roman"/>
                <w:bCs/>
                <w:sz w:val="24"/>
                <w:szCs w:val="24"/>
              </w:rPr>
              <w:t>Monitoring the project budget;</w:t>
            </w:r>
          </w:p>
          <w:p w14:paraId="1541EB54" w14:textId="77777777" w:rsidR="00D717F1" w:rsidRPr="00FC5114" w:rsidRDefault="00D717F1" w:rsidP="00E038C3">
            <w:pPr>
              <w:pStyle w:val="ListParagraph"/>
              <w:numPr>
                <w:ilvl w:val="0"/>
                <w:numId w:val="30"/>
              </w:numPr>
              <w:jc w:val="both"/>
              <w:rPr>
                <w:rFonts w:ascii="Times New Roman" w:hAnsi="Times New Roman"/>
                <w:bCs/>
                <w:sz w:val="24"/>
                <w:szCs w:val="24"/>
              </w:rPr>
            </w:pPr>
            <w:r w:rsidRPr="00FC5114">
              <w:rPr>
                <w:rFonts w:ascii="Times New Roman" w:hAnsi="Times New Roman"/>
                <w:bCs/>
                <w:sz w:val="24"/>
                <w:szCs w:val="24"/>
              </w:rPr>
              <w:t>Regularly communicating with DWD regarding project progress and outcomes; and</w:t>
            </w:r>
          </w:p>
          <w:p w14:paraId="1CEDABC4" w14:textId="77777777" w:rsidR="00D717F1" w:rsidRPr="00FC5114" w:rsidRDefault="00D717F1" w:rsidP="00E038C3">
            <w:pPr>
              <w:pStyle w:val="ListParagraph"/>
              <w:numPr>
                <w:ilvl w:val="0"/>
                <w:numId w:val="30"/>
              </w:numPr>
              <w:jc w:val="both"/>
              <w:rPr>
                <w:rFonts w:ascii="Times New Roman" w:hAnsi="Times New Roman"/>
                <w:bCs/>
                <w:sz w:val="24"/>
                <w:szCs w:val="24"/>
              </w:rPr>
            </w:pPr>
            <w:r w:rsidRPr="00FC5114">
              <w:rPr>
                <w:rFonts w:ascii="Times New Roman" w:hAnsi="Times New Roman"/>
                <w:bCs/>
                <w:sz w:val="24"/>
                <w:szCs w:val="24"/>
              </w:rPr>
              <w:t>Organizing and facilitating project-related meetings to support City goals.</w:t>
            </w:r>
          </w:p>
          <w:p w14:paraId="64E34529" w14:textId="77777777" w:rsidR="00D717F1" w:rsidRPr="00FC5114" w:rsidRDefault="00D717F1" w:rsidP="00FC5114">
            <w:pPr>
              <w:spacing w:line="276" w:lineRule="auto"/>
              <w:contextualSpacing/>
              <w:rPr>
                <w:rFonts w:ascii="Times New Roman" w:hAnsi="Times New Roman" w:cs="Times New Roman"/>
                <w:bCs/>
                <w:iCs/>
                <w:sz w:val="24"/>
                <w:szCs w:val="24"/>
              </w:rPr>
            </w:pPr>
          </w:p>
          <w:p w14:paraId="7DE11041" w14:textId="77777777" w:rsidR="00D717F1" w:rsidRPr="00FC5114" w:rsidRDefault="00D717F1" w:rsidP="00FC5114">
            <w:pPr>
              <w:contextualSpacing/>
              <w:jc w:val="both"/>
              <w:rPr>
                <w:rFonts w:ascii="Times New Roman" w:hAnsi="Times New Roman" w:cs="Times New Roman"/>
                <w:sz w:val="24"/>
                <w:szCs w:val="24"/>
              </w:rPr>
            </w:pPr>
            <w:r w:rsidRPr="00FC5114">
              <w:rPr>
                <w:rFonts w:ascii="Times New Roman" w:hAnsi="Times New Roman" w:cs="Times New Roman"/>
                <w:sz w:val="24"/>
                <w:szCs w:val="24"/>
              </w:rPr>
              <w:t>In response to DWD's expectation for this project to be completed virtually for the immediate future (as outlined in the Response to Written Questions for this RFP), PCG plans to complete this project virtually. PCG will conduct a virtual project kickoff meeting with DWD the at the outset. The kickoff meeting will provide the opportunity to understand project expectations and to establish a collaborative working relationship with DWD’s project team. If desired, these meetings can be part of an already scheduled DWD Compliance Team meeting.</w:t>
            </w:r>
          </w:p>
          <w:p w14:paraId="3E399010" w14:textId="77777777" w:rsidR="00D717F1" w:rsidRPr="00FC5114" w:rsidRDefault="00D717F1" w:rsidP="00FC5114">
            <w:pPr>
              <w:contextualSpacing/>
              <w:jc w:val="both"/>
              <w:rPr>
                <w:rFonts w:ascii="Times New Roman" w:hAnsi="Times New Roman" w:cs="Times New Roman"/>
                <w:sz w:val="24"/>
                <w:szCs w:val="24"/>
              </w:rPr>
            </w:pPr>
          </w:p>
          <w:p w14:paraId="415898CB" w14:textId="77777777" w:rsidR="00D717F1" w:rsidRPr="00FC5114" w:rsidRDefault="00D717F1" w:rsidP="00E038C3">
            <w:pPr>
              <w:numPr>
                <w:ilvl w:val="0"/>
                <w:numId w:val="28"/>
              </w:numPr>
              <w:contextualSpacing/>
              <w:jc w:val="both"/>
              <w:rPr>
                <w:rFonts w:ascii="Times New Roman" w:eastAsia="Calibri" w:hAnsi="Times New Roman" w:cs="Times New Roman"/>
                <w:b/>
                <w:i/>
                <w:iCs/>
                <w:sz w:val="24"/>
                <w:szCs w:val="24"/>
              </w:rPr>
            </w:pPr>
            <w:r w:rsidRPr="00FC5114">
              <w:rPr>
                <w:rFonts w:ascii="Times New Roman" w:eastAsia="Calibri" w:hAnsi="Times New Roman" w:cs="Times New Roman"/>
                <w:b/>
                <w:sz w:val="24"/>
                <w:szCs w:val="24"/>
              </w:rPr>
              <w:t>Project Kickoff Meeting</w:t>
            </w:r>
          </w:p>
          <w:p w14:paraId="7EEA7B8F"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Introduce project team</w:t>
            </w:r>
          </w:p>
          <w:p w14:paraId="049318A9"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Confirm project goals and objectives</w:t>
            </w:r>
          </w:p>
          <w:p w14:paraId="1A25BAAD"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Determine DWD lead contact</w:t>
            </w:r>
          </w:p>
          <w:p w14:paraId="347749ED"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Review project plan (work plan, schedule, communication plan, etc.)</w:t>
            </w:r>
          </w:p>
          <w:p w14:paraId="5F5BE316"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Confirm template and cadence for regular status reports</w:t>
            </w:r>
          </w:p>
          <w:p w14:paraId="6323A299"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Discuss risk management, including process for resolving issues and managing project within timeframe and budget</w:t>
            </w:r>
          </w:p>
          <w:p w14:paraId="6921BF17" w14:textId="77777777" w:rsidR="00D717F1" w:rsidRPr="00FC5114" w:rsidRDefault="00D717F1" w:rsidP="00E038C3">
            <w:pPr>
              <w:numPr>
                <w:ilvl w:val="1"/>
                <w:numId w:val="28"/>
              </w:numPr>
              <w:contextualSpacing/>
              <w:jc w:val="both"/>
              <w:rPr>
                <w:rFonts w:ascii="Times New Roman" w:eastAsia="Calibri" w:hAnsi="Times New Roman" w:cs="Times New Roman"/>
                <w:sz w:val="24"/>
                <w:szCs w:val="24"/>
              </w:rPr>
            </w:pPr>
            <w:r w:rsidRPr="00FC5114">
              <w:rPr>
                <w:rFonts w:ascii="Times New Roman" w:eastAsia="Calibri" w:hAnsi="Times New Roman" w:cs="Times New Roman"/>
                <w:sz w:val="24"/>
                <w:szCs w:val="24"/>
              </w:rPr>
              <w:t>Confirm project deliverables and final approval process</w:t>
            </w:r>
          </w:p>
          <w:p w14:paraId="4EACCAB1" w14:textId="77777777" w:rsidR="00D717F1" w:rsidRPr="00FC5114" w:rsidRDefault="00D717F1" w:rsidP="00FC5114">
            <w:pPr>
              <w:pStyle w:val="NormalProposalText"/>
              <w:contextualSpacing/>
              <w:rPr>
                <w:rFonts w:ascii="Times New Roman" w:hAnsi="Times New Roman" w:cs="Times New Roman"/>
                <w:sz w:val="24"/>
                <w:szCs w:val="24"/>
              </w:rPr>
            </w:pPr>
          </w:p>
          <w:p w14:paraId="55E8D35F" w14:textId="00A43036" w:rsidR="00D717F1" w:rsidRPr="002C3780" w:rsidRDefault="00D717F1" w:rsidP="00DC76B8">
            <w:pPr>
              <w:pStyle w:val="ListParagraph"/>
              <w:keepNext/>
              <w:keepLines/>
              <w:numPr>
                <w:ilvl w:val="7"/>
                <w:numId w:val="24"/>
              </w:numPr>
              <w:ind w:left="610"/>
              <w:rPr>
                <w:rFonts w:ascii="Times New Roman" w:hAnsi="Times New Roman"/>
                <w:bCs/>
                <w:i/>
                <w:sz w:val="24"/>
                <w:szCs w:val="24"/>
              </w:rPr>
            </w:pPr>
            <w:r w:rsidRPr="002C3780">
              <w:rPr>
                <w:rFonts w:ascii="Times New Roman" w:hAnsi="Times New Roman"/>
                <w:bCs/>
                <w:i/>
                <w:sz w:val="24"/>
                <w:szCs w:val="24"/>
              </w:rPr>
              <w:lastRenderedPageBreak/>
              <w:t>Proposed approach for managing communications and information gathering with DWD</w:t>
            </w:r>
          </w:p>
          <w:p w14:paraId="2E7DF020" w14:textId="77777777" w:rsidR="002C3780" w:rsidRPr="00FC5114" w:rsidRDefault="002C3780" w:rsidP="00DC76B8">
            <w:pPr>
              <w:keepNext/>
              <w:keepLines/>
              <w:spacing w:line="276" w:lineRule="auto"/>
              <w:contextualSpacing/>
              <w:rPr>
                <w:rFonts w:ascii="Times New Roman" w:hAnsi="Times New Roman" w:cs="Times New Roman"/>
                <w:bCs/>
                <w:i/>
                <w:sz w:val="24"/>
                <w:szCs w:val="24"/>
              </w:rPr>
            </w:pPr>
          </w:p>
          <w:p w14:paraId="6001D301" w14:textId="69EF4164" w:rsidR="00D717F1" w:rsidRDefault="00D717F1" w:rsidP="00DC76B8">
            <w:pPr>
              <w:keepNext/>
              <w:keepLines/>
              <w:contextualSpacing/>
              <w:rPr>
                <w:rFonts w:ascii="Times New Roman" w:hAnsi="Times New Roman" w:cs="Times New Roman"/>
                <w:sz w:val="24"/>
                <w:szCs w:val="24"/>
              </w:rPr>
            </w:pPr>
            <w:r w:rsidRPr="00FC5114">
              <w:rPr>
                <w:rFonts w:ascii="Times New Roman" w:hAnsi="Times New Roman" w:cs="Times New Roman"/>
                <w:sz w:val="24"/>
                <w:szCs w:val="24"/>
              </w:rPr>
              <w:t xml:space="preserve">PCG’s approach to managing communications and information gathering is through a timely, clear and structured process. The PCG Project Manager will be the primary point of contact for DWD on all communications. The PCG Project Manager, with support from the project team, will assemble and submit the data and document request (as described above) to DWD. Additional requests for information, scheduling meetings and interviews, and requests to review deliverables will be managed by the PCG Project Manager. PCG recommends that DWD appoint a Project Manager for this engagement who can serve as the point of contact and help coordinate requests for information, meetings, and review of deliverables. PCG will use the regular status meetings as opportunities to provide updates to DWD, and give DWD an opportunity to ask questions, give decisions, and provide feedback. PCG will provide timely responses to emails and calls that occur between meetings. </w:t>
            </w:r>
          </w:p>
          <w:p w14:paraId="1AAC9842" w14:textId="77777777" w:rsidR="003522F3" w:rsidRPr="00FC5114" w:rsidRDefault="003522F3" w:rsidP="00FC5114">
            <w:pPr>
              <w:contextualSpacing/>
              <w:rPr>
                <w:rFonts w:ascii="Times New Roman" w:hAnsi="Times New Roman" w:cs="Times New Roman"/>
                <w:sz w:val="24"/>
                <w:szCs w:val="24"/>
              </w:rPr>
            </w:pPr>
          </w:p>
          <w:p w14:paraId="4108B1FE" w14:textId="6A59EA46" w:rsidR="00D717F1" w:rsidRDefault="00D717F1" w:rsidP="00FC5114">
            <w:pPr>
              <w:contextualSpacing/>
              <w:jc w:val="both"/>
              <w:rPr>
                <w:rFonts w:ascii="Times New Roman" w:hAnsi="Times New Roman" w:cs="Times New Roman"/>
                <w:sz w:val="24"/>
                <w:szCs w:val="24"/>
              </w:rPr>
            </w:pPr>
            <w:r w:rsidRPr="00FC5114">
              <w:rPr>
                <w:rFonts w:ascii="Times New Roman" w:hAnsi="Times New Roman" w:cs="Times New Roman"/>
                <w:sz w:val="24"/>
                <w:szCs w:val="24"/>
              </w:rPr>
              <w:t>During these times of remote work, PCG leverages Microsoft Teams and other technologies to stay in frequent contact with our clients through video and tele-conferencing. PCG also uses Microsoft SharePoint to save shared files and exchange information with our clients. Our technologies enable us to conduct meetings, interviews, and visioning sessions with groups of all sizes. PCG manages the logistics of these sessions, making the process seamless for our clients.</w:t>
            </w:r>
          </w:p>
          <w:p w14:paraId="167D7884" w14:textId="77777777" w:rsidR="003522F3" w:rsidRPr="00FC5114" w:rsidRDefault="003522F3" w:rsidP="00FC5114">
            <w:pPr>
              <w:contextualSpacing/>
              <w:jc w:val="both"/>
              <w:rPr>
                <w:rFonts w:ascii="Times New Roman" w:hAnsi="Times New Roman" w:cs="Times New Roman"/>
                <w:sz w:val="24"/>
                <w:szCs w:val="24"/>
              </w:rPr>
            </w:pPr>
          </w:p>
          <w:p w14:paraId="05A134F2" w14:textId="7AF5E9EF" w:rsidR="00D717F1" w:rsidRDefault="00D717F1" w:rsidP="00E038C3">
            <w:pPr>
              <w:pStyle w:val="ListParagraph"/>
              <w:numPr>
                <w:ilvl w:val="7"/>
                <w:numId w:val="24"/>
              </w:numPr>
              <w:ind w:left="610"/>
              <w:rPr>
                <w:rFonts w:ascii="Times New Roman" w:hAnsi="Times New Roman"/>
                <w:bCs/>
                <w:i/>
                <w:sz w:val="24"/>
                <w:szCs w:val="24"/>
              </w:rPr>
            </w:pPr>
            <w:r w:rsidRPr="003522F3">
              <w:rPr>
                <w:rFonts w:ascii="Times New Roman" w:hAnsi="Times New Roman"/>
                <w:bCs/>
                <w:i/>
                <w:sz w:val="24"/>
                <w:szCs w:val="24"/>
              </w:rPr>
              <w:t>Proposed approach and schedule for keeping DWD timely apprised of project status</w:t>
            </w:r>
          </w:p>
          <w:p w14:paraId="471C726E" w14:textId="77777777" w:rsidR="003522F3" w:rsidRPr="003522F3" w:rsidRDefault="003522F3" w:rsidP="003522F3">
            <w:pPr>
              <w:pStyle w:val="ListParagraph"/>
              <w:ind w:left="610"/>
              <w:rPr>
                <w:rFonts w:ascii="Times New Roman" w:hAnsi="Times New Roman"/>
                <w:bCs/>
                <w:i/>
                <w:sz w:val="24"/>
                <w:szCs w:val="24"/>
              </w:rPr>
            </w:pPr>
          </w:p>
          <w:p w14:paraId="1478C8F6" w14:textId="295EC280" w:rsidR="00D717F1" w:rsidRDefault="00D717F1" w:rsidP="00FC5114">
            <w:pPr>
              <w:contextualSpacing/>
              <w:rPr>
                <w:rFonts w:ascii="Times New Roman" w:hAnsi="Times New Roman" w:cs="Times New Roman"/>
                <w:sz w:val="24"/>
                <w:szCs w:val="24"/>
              </w:rPr>
            </w:pPr>
            <w:r w:rsidRPr="00FC5114">
              <w:rPr>
                <w:rFonts w:ascii="Times New Roman" w:hAnsi="Times New Roman" w:cs="Times New Roman"/>
                <w:sz w:val="24"/>
                <w:szCs w:val="24"/>
              </w:rPr>
              <w:t>Following the virtual kickoff and working session, our team will tailor the work plan and schedule for the remainder of the project, and work with DWD’s Compliance Team to plan and schedule regular status meetings. While we propose bi-weekly (twice-monthly), half hour status meetings with key project staff, the schedule and approach can be adjusted during initial project discussions and as needed throughout the life of the project. We will also provide bi-weekly, written progress reports to serve as the foundation for status meeting discussions. The status reports will include details about what the project team is working on, what has been accomplished, what’s coming up, and any project risks or issues that may arise (more details on risk mitigation are included below). The status reports will also identify key dates and deadlines and action items.</w:t>
            </w:r>
          </w:p>
          <w:p w14:paraId="3358687D" w14:textId="77777777" w:rsidR="003522F3" w:rsidRPr="00FC5114" w:rsidRDefault="003522F3" w:rsidP="00FC5114">
            <w:pPr>
              <w:contextualSpacing/>
              <w:rPr>
                <w:rFonts w:ascii="Times New Roman" w:hAnsi="Times New Roman" w:cs="Times New Roman"/>
                <w:sz w:val="24"/>
                <w:szCs w:val="24"/>
              </w:rPr>
            </w:pPr>
          </w:p>
          <w:p w14:paraId="78C23CD0" w14:textId="06AF45D9" w:rsidR="00D717F1" w:rsidRDefault="00D717F1" w:rsidP="00E038C3">
            <w:pPr>
              <w:pStyle w:val="ListParagraph"/>
              <w:numPr>
                <w:ilvl w:val="7"/>
                <w:numId w:val="24"/>
              </w:numPr>
              <w:ind w:left="610"/>
              <w:rPr>
                <w:rFonts w:ascii="Times New Roman" w:hAnsi="Times New Roman"/>
                <w:bCs/>
                <w:i/>
                <w:sz w:val="24"/>
                <w:szCs w:val="24"/>
              </w:rPr>
            </w:pPr>
            <w:r w:rsidRPr="003522F3">
              <w:rPr>
                <w:rFonts w:ascii="Times New Roman" w:hAnsi="Times New Roman"/>
                <w:bCs/>
                <w:i/>
                <w:sz w:val="24"/>
                <w:szCs w:val="24"/>
              </w:rPr>
              <w:t>Your organization’s standard process for problem resolution, including standard response times and description of the escalation process if the standard resolution process cannot resolve an issue</w:t>
            </w:r>
          </w:p>
          <w:p w14:paraId="0D173AED" w14:textId="77777777" w:rsidR="003522F3" w:rsidRPr="003522F3" w:rsidRDefault="003522F3" w:rsidP="003522F3">
            <w:pPr>
              <w:rPr>
                <w:rFonts w:ascii="Times New Roman" w:hAnsi="Times New Roman"/>
                <w:bCs/>
                <w:i/>
                <w:sz w:val="24"/>
                <w:szCs w:val="24"/>
              </w:rPr>
            </w:pPr>
          </w:p>
          <w:p w14:paraId="4EA3E149" w14:textId="19272341" w:rsidR="00D717F1" w:rsidRDefault="00D717F1" w:rsidP="00FC5114">
            <w:pPr>
              <w:contextualSpacing/>
              <w:rPr>
                <w:rFonts w:ascii="Times New Roman" w:hAnsi="Times New Roman" w:cs="Times New Roman"/>
                <w:sz w:val="24"/>
                <w:szCs w:val="24"/>
              </w:rPr>
            </w:pPr>
            <w:r w:rsidRPr="00FC5114">
              <w:rPr>
                <w:rFonts w:ascii="Times New Roman" w:hAnsi="Times New Roman" w:cs="Times New Roman"/>
                <w:sz w:val="24"/>
                <w:szCs w:val="24"/>
              </w:rPr>
              <w:t>PCG takes a proactive approach to project risk by identifying possible areas of risk at the outset of the project, and cataloging risk issues as they arise over the course of the project. PCG’s status reports include a log of identified project risks, issues, and resolutions.</w:t>
            </w:r>
          </w:p>
          <w:p w14:paraId="0D802A6A" w14:textId="77777777" w:rsidR="003522F3" w:rsidRPr="00FC5114" w:rsidRDefault="003522F3" w:rsidP="00FC5114">
            <w:pPr>
              <w:contextualSpacing/>
              <w:rPr>
                <w:rFonts w:ascii="Times New Roman" w:hAnsi="Times New Roman" w:cs="Times New Roman"/>
                <w:sz w:val="24"/>
                <w:szCs w:val="24"/>
              </w:rPr>
            </w:pPr>
          </w:p>
          <w:p w14:paraId="000692C0" w14:textId="77777777" w:rsidR="00D717F1" w:rsidRPr="00FC5114" w:rsidRDefault="00D717F1" w:rsidP="00FC5114">
            <w:pPr>
              <w:contextualSpacing/>
              <w:rPr>
                <w:rFonts w:ascii="Times New Roman" w:hAnsi="Times New Roman" w:cs="Times New Roman"/>
                <w:sz w:val="24"/>
                <w:szCs w:val="24"/>
              </w:rPr>
            </w:pPr>
            <w:r w:rsidRPr="00FC5114">
              <w:rPr>
                <w:rFonts w:ascii="Times New Roman" w:hAnsi="Times New Roman" w:cs="Times New Roman"/>
                <w:sz w:val="24"/>
                <w:szCs w:val="24"/>
              </w:rPr>
              <w:t xml:space="preserve">PCG’s approach to problem resolution is to speak with our clients directly to understand and assess the situation and come to an agreement about feasible next steps to resolve the issue. The PCG Project Manager will be the primary point of contact for DWD on questions related to project risk, contract, quality, and timeline. The typical response time for the PCG Project Manager and team is one business day. </w:t>
            </w:r>
          </w:p>
          <w:p w14:paraId="70569F7D" w14:textId="27411B73" w:rsidR="00D717F1" w:rsidRDefault="00D717F1" w:rsidP="00FC5114">
            <w:pPr>
              <w:contextualSpacing/>
              <w:rPr>
                <w:rFonts w:ascii="Times New Roman" w:hAnsi="Times New Roman" w:cs="Times New Roman"/>
                <w:sz w:val="24"/>
                <w:szCs w:val="24"/>
              </w:rPr>
            </w:pPr>
            <w:r w:rsidRPr="00FC5114">
              <w:rPr>
                <w:rFonts w:ascii="Times New Roman" w:hAnsi="Times New Roman" w:cs="Times New Roman"/>
                <w:sz w:val="24"/>
                <w:szCs w:val="24"/>
              </w:rPr>
              <w:t xml:space="preserve">Our problem resolution process is for the PCG project manager to speak directly with the DWD project manager to fully understand the issue and discuss possible resolutions and next steps. Once action has been taken, the PCG project manager will follow-up with the DWD project manager to discuss whether the issue has been addressed appropriately. If for some reason the issue is not resolved at this point, the PCG Engagement Manager will speak directly with the DWD Project </w:t>
            </w:r>
            <w:r w:rsidRPr="00FC5114">
              <w:rPr>
                <w:rFonts w:ascii="Times New Roman" w:hAnsi="Times New Roman" w:cs="Times New Roman"/>
                <w:sz w:val="24"/>
                <w:szCs w:val="24"/>
              </w:rPr>
              <w:lastRenderedPageBreak/>
              <w:t>Manager (or designee, if escalated) to discuss the issue and strategies for resolution. Ultimately, PCG’s aim is to ask for continuous feedback to ensure our clients are happy.</w:t>
            </w:r>
            <w:r w:rsidR="00545F3F">
              <w:rPr>
                <w:rFonts w:ascii="Times New Roman" w:hAnsi="Times New Roman" w:cs="Times New Roman"/>
                <w:sz w:val="24"/>
                <w:szCs w:val="24"/>
              </w:rPr>
              <w:t xml:space="preserve"> </w:t>
            </w:r>
            <w:r w:rsidRPr="00FC5114">
              <w:rPr>
                <w:rFonts w:ascii="Times New Roman" w:hAnsi="Times New Roman" w:cs="Times New Roman"/>
                <w:sz w:val="24"/>
                <w:szCs w:val="24"/>
              </w:rPr>
              <w:t>PCG will alert DWD when PCG staff plans to be “out of office” and appoint a designee contact.</w:t>
            </w:r>
            <w:r w:rsidR="00545F3F">
              <w:rPr>
                <w:rFonts w:ascii="Times New Roman" w:hAnsi="Times New Roman" w:cs="Times New Roman"/>
                <w:sz w:val="24"/>
                <w:szCs w:val="24"/>
              </w:rPr>
              <w:t xml:space="preserve"> </w:t>
            </w:r>
            <w:r w:rsidRPr="00FC5114">
              <w:rPr>
                <w:rFonts w:ascii="Times New Roman" w:hAnsi="Times New Roman" w:cs="Times New Roman"/>
                <w:sz w:val="24"/>
                <w:szCs w:val="24"/>
              </w:rPr>
              <w:t xml:space="preserve">PCG will discuss feasible timelines with DWD when making requests for information and review of deliverables. </w:t>
            </w:r>
          </w:p>
          <w:p w14:paraId="04BB15B0" w14:textId="77777777" w:rsidR="00545F3F" w:rsidRPr="00FC5114" w:rsidRDefault="00545F3F" w:rsidP="00FC5114">
            <w:pPr>
              <w:contextualSpacing/>
              <w:rPr>
                <w:rFonts w:ascii="Times New Roman" w:hAnsi="Times New Roman" w:cs="Times New Roman"/>
                <w:sz w:val="24"/>
                <w:szCs w:val="24"/>
              </w:rPr>
            </w:pPr>
          </w:p>
          <w:p w14:paraId="46316CE0" w14:textId="07C6E0B9" w:rsidR="00D717F1" w:rsidRDefault="00D717F1" w:rsidP="00FC5114">
            <w:pPr>
              <w:contextualSpacing/>
              <w:rPr>
                <w:rFonts w:ascii="Times New Roman" w:hAnsi="Times New Roman" w:cs="Times New Roman"/>
                <w:sz w:val="24"/>
                <w:szCs w:val="24"/>
              </w:rPr>
            </w:pPr>
            <w:r w:rsidRPr="00FC5114">
              <w:rPr>
                <w:rFonts w:ascii="Times New Roman" w:hAnsi="Times New Roman" w:cs="Times New Roman"/>
                <w:sz w:val="24"/>
                <w:szCs w:val="24"/>
              </w:rPr>
              <w:t>In addition to the PCG Project Manager, the PCG Engagement Manager provides overall contract management oversight and is always directly available to clients to discuss questions or concerns about issues related to the contract, timeline, quality of work, or other issues that may arise.</w:t>
            </w:r>
          </w:p>
          <w:p w14:paraId="73A7D9CB" w14:textId="77777777" w:rsidR="00545F3F" w:rsidRPr="00FC5114" w:rsidRDefault="00545F3F" w:rsidP="00FC5114">
            <w:pPr>
              <w:contextualSpacing/>
              <w:rPr>
                <w:rFonts w:ascii="Times New Roman" w:hAnsi="Times New Roman" w:cs="Times New Roman"/>
                <w:sz w:val="24"/>
                <w:szCs w:val="24"/>
              </w:rPr>
            </w:pPr>
          </w:p>
          <w:p w14:paraId="712A9561" w14:textId="6851945C" w:rsidR="00D717F1" w:rsidRDefault="00D717F1" w:rsidP="00E038C3">
            <w:pPr>
              <w:pStyle w:val="ListParagraph"/>
              <w:numPr>
                <w:ilvl w:val="7"/>
                <w:numId w:val="24"/>
              </w:numPr>
              <w:ind w:left="610"/>
              <w:rPr>
                <w:rFonts w:ascii="Times New Roman" w:hAnsi="Times New Roman"/>
                <w:i/>
                <w:sz w:val="24"/>
                <w:szCs w:val="24"/>
              </w:rPr>
            </w:pPr>
            <w:r w:rsidRPr="00545F3F">
              <w:rPr>
                <w:rFonts w:ascii="Times New Roman" w:hAnsi="Times New Roman"/>
                <w:i/>
                <w:sz w:val="24"/>
                <w:szCs w:val="24"/>
              </w:rPr>
              <w:t>Proposed approach to ensuring the quality of the work product to be produced</w:t>
            </w:r>
          </w:p>
          <w:p w14:paraId="1CB5799F" w14:textId="77777777" w:rsidR="00545F3F" w:rsidRPr="00545F3F" w:rsidRDefault="00545F3F" w:rsidP="00545F3F">
            <w:pPr>
              <w:pStyle w:val="ListParagraph"/>
              <w:ind w:left="610"/>
              <w:rPr>
                <w:rFonts w:ascii="Times New Roman" w:hAnsi="Times New Roman"/>
                <w:i/>
                <w:sz w:val="24"/>
                <w:szCs w:val="24"/>
              </w:rPr>
            </w:pPr>
          </w:p>
          <w:p w14:paraId="09B1996F" w14:textId="77777777" w:rsidR="00D717F1" w:rsidRPr="00FC5114" w:rsidRDefault="00D717F1" w:rsidP="00FC5114">
            <w:pPr>
              <w:spacing w:line="276" w:lineRule="auto"/>
              <w:contextualSpacing/>
              <w:rPr>
                <w:rFonts w:ascii="Times New Roman" w:hAnsi="Times New Roman" w:cs="Times New Roman"/>
                <w:sz w:val="24"/>
                <w:szCs w:val="24"/>
              </w:rPr>
            </w:pPr>
            <w:r w:rsidRPr="00FC5114">
              <w:rPr>
                <w:rFonts w:ascii="Times New Roman" w:hAnsi="Times New Roman" w:cs="Times New Roman"/>
                <w:sz w:val="24"/>
                <w:szCs w:val="24"/>
              </w:rPr>
              <w:t xml:space="preserve">PCG takes pride in the quality of our work product. PCG builds </w:t>
            </w:r>
            <w:r w:rsidRPr="00FC5114">
              <w:rPr>
                <w:rStyle w:val="normaltextrun"/>
                <w:rFonts w:ascii="Times New Roman" w:hAnsi="Times New Roman" w:cs="Times New Roman"/>
                <w:color w:val="000000"/>
                <w:sz w:val="24"/>
                <w:szCs w:val="24"/>
              </w:rPr>
              <w:t>every</w:t>
            </w:r>
            <w:r w:rsidRPr="00FC5114">
              <w:rPr>
                <w:rFonts w:ascii="Times New Roman" w:hAnsi="Times New Roman" w:cs="Times New Roman"/>
                <w:sz w:val="24"/>
                <w:szCs w:val="24"/>
              </w:rPr>
              <w:t xml:space="preserve"> project from the ground up and avoids offering a cookie-cutter approach. We draw on our knowledge and expertise to bring you unique solutions based on identified need. To do this, we carefully listen to the results and outcomes you want and expect. We build genuine human connections that lead to a shared aim, purpose, and ultimately, a shared trust. PCG will listen to DWD to understand the goals for the work to be produced and will build in opportunity for feedback along the way to confirm it meets expectations. PCG also ensures quality of our work by building in internal reviews of work products so that drafts are reviewed before they are sent to you for feedback.</w:t>
            </w:r>
          </w:p>
          <w:p w14:paraId="7D580014" w14:textId="77777777" w:rsidR="00D717F1" w:rsidRPr="00FC5114" w:rsidRDefault="00D717F1" w:rsidP="00FC5114">
            <w:pPr>
              <w:spacing w:line="276" w:lineRule="auto"/>
              <w:contextualSpacing/>
              <w:rPr>
                <w:rFonts w:ascii="Times New Roman" w:hAnsi="Times New Roman" w:cs="Times New Roman"/>
                <w:sz w:val="24"/>
                <w:szCs w:val="24"/>
              </w:rPr>
            </w:pPr>
          </w:p>
          <w:p w14:paraId="3407E76B" w14:textId="04A86B78" w:rsidR="00D717F1" w:rsidRDefault="00D717F1" w:rsidP="00E038C3">
            <w:pPr>
              <w:pStyle w:val="ListParagraph"/>
              <w:numPr>
                <w:ilvl w:val="7"/>
                <w:numId w:val="24"/>
              </w:numPr>
              <w:ind w:left="610"/>
              <w:rPr>
                <w:rFonts w:ascii="Times New Roman" w:hAnsi="Times New Roman"/>
                <w:i/>
                <w:sz w:val="24"/>
                <w:szCs w:val="24"/>
              </w:rPr>
            </w:pPr>
            <w:r w:rsidRPr="00545F3F">
              <w:rPr>
                <w:rFonts w:ascii="Times New Roman" w:hAnsi="Times New Roman"/>
                <w:i/>
                <w:sz w:val="24"/>
                <w:szCs w:val="24"/>
              </w:rPr>
              <w:t>Practices and procedures your organization follows to control the costs of services and stay within budget</w:t>
            </w:r>
          </w:p>
          <w:p w14:paraId="4C2F877A" w14:textId="77777777" w:rsidR="00545F3F" w:rsidRPr="00545F3F" w:rsidRDefault="00545F3F" w:rsidP="00545F3F">
            <w:pPr>
              <w:pStyle w:val="ListParagraph"/>
              <w:ind w:left="610"/>
              <w:rPr>
                <w:rFonts w:ascii="Times New Roman" w:hAnsi="Times New Roman"/>
                <w:i/>
                <w:sz w:val="24"/>
                <w:szCs w:val="24"/>
              </w:rPr>
            </w:pPr>
          </w:p>
          <w:p w14:paraId="4265AD1F" w14:textId="746919A0" w:rsidR="00730B92" w:rsidRDefault="00D717F1" w:rsidP="00545F3F">
            <w:pPr>
              <w:spacing w:line="276" w:lineRule="auto"/>
              <w:contextualSpacing/>
              <w:rPr>
                <w:rFonts w:ascii="Garamond" w:hAnsi="Garamond"/>
                <w:bCs/>
                <w:iCs/>
                <w:sz w:val="24"/>
                <w:szCs w:val="24"/>
              </w:rPr>
            </w:pPr>
            <w:r w:rsidRPr="00FC5114">
              <w:rPr>
                <w:rFonts w:ascii="Times New Roman" w:hAnsi="Times New Roman" w:cs="Times New Roman"/>
                <w:bCs/>
                <w:iCs/>
                <w:sz w:val="24"/>
                <w:szCs w:val="24"/>
              </w:rPr>
              <w:t>PCG’s project management approach includes continuous monitoring of the project work plan, staff resources, and budget. The project manager reviews work progress with the project team during weekly project meetings, work sessions, and check-ins throughout the work week. Through regular status meetings with DWD, PCG will provide updates on the work and timeline and communicate any areas of risk, including time constraints, work that is requiring more time than expected, or work that is beyond scope. These practices help ensure that PCG completes the work outlined in the scope, on time and within budget.</w:t>
            </w:r>
          </w:p>
        </w:tc>
      </w:tr>
      <w:bookmarkEnd w:id="3"/>
    </w:tbl>
    <w:p w14:paraId="03B01367" w14:textId="77777777" w:rsidR="00194DD8" w:rsidRPr="000C7254" w:rsidRDefault="00194DD8" w:rsidP="00790759">
      <w:pPr>
        <w:spacing w:after="0"/>
        <w:rPr>
          <w:rFonts w:ascii="Garamond" w:hAnsi="Garamond"/>
          <w:sz w:val="24"/>
          <w:szCs w:val="24"/>
        </w:rPr>
      </w:pPr>
    </w:p>
    <w:sectPr w:rsidR="00194DD8" w:rsidRPr="000C7254" w:rsidSect="0027518E">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BE785" w14:textId="77777777" w:rsidR="00C830E8" w:rsidRDefault="00C830E8" w:rsidP="00B00557">
      <w:pPr>
        <w:spacing w:after="0" w:line="240" w:lineRule="auto"/>
      </w:pPr>
      <w:r>
        <w:separator/>
      </w:r>
    </w:p>
  </w:endnote>
  <w:endnote w:type="continuationSeparator" w:id="0">
    <w:p w14:paraId="29808254" w14:textId="77777777" w:rsidR="00C830E8" w:rsidRDefault="00C830E8" w:rsidP="00B00557">
      <w:pPr>
        <w:spacing w:after="0" w:line="240" w:lineRule="auto"/>
      </w:pPr>
      <w:r>
        <w:continuationSeparator/>
      </w:r>
    </w:p>
  </w:endnote>
  <w:endnote w:type="continuationNotice" w:id="1">
    <w:p w14:paraId="2C82261F" w14:textId="77777777" w:rsidR="00C830E8" w:rsidRDefault="00C83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98DFF" w14:textId="363F220A" w:rsidR="00E6297D" w:rsidRPr="00B00557" w:rsidRDefault="00E6297D" w:rsidP="00B00557">
    <w:pPr>
      <w:pStyle w:val="Footer"/>
      <w:jc w:val="right"/>
    </w:pPr>
    <w:r w:rsidRPr="00B00557">
      <w:rPr>
        <w:rStyle w:val="PageNumber"/>
      </w:rPr>
      <w:fldChar w:fldCharType="begin"/>
    </w:r>
    <w:r w:rsidRPr="00B00557">
      <w:rPr>
        <w:rStyle w:val="PageNumber"/>
      </w:rPr>
      <w:instrText xml:space="preserve"> PAGE </w:instrText>
    </w:r>
    <w:r w:rsidRPr="00B00557">
      <w:rPr>
        <w:rStyle w:val="PageNumber"/>
      </w:rPr>
      <w:fldChar w:fldCharType="separate"/>
    </w:r>
    <w:r w:rsidR="00D5579D">
      <w:rPr>
        <w:rStyle w:val="PageNumber"/>
        <w:noProof/>
      </w:rPr>
      <w:t>1</w:t>
    </w:r>
    <w:r w:rsidRPr="00B005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978D7" w14:textId="77777777" w:rsidR="00C830E8" w:rsidRDefault="00C830E8" w:rsidP="00B00557">
      <w:pPr>
        <w:spacing w:after="0" w:line="240" w:lineRule="auto"/>
      </w:pPr>
      <w:r>
        <w:separator/>
      </w:r>
    </w:p>
  </w:footnote>
  <w:footnote w:type="continuationSeparator" w:id="0">
    <w:p w14:paraId="7599FF20" w14:textId="77777777" w:rsidR="00C830E8" w:rsidRDefault="00C830E8" w:rsidP="00B00557">
      <w:pPr>
        <w:spacing w:after="0" w:line="240" w:lineRule="auto"/>
      </w:pPr>
      <w:r>
        <w:continuationSeparator/>
      </w:r>
    </w:p>
  </w:footnote>
  <w:footnote w:type="continuationNotice" w:id="1">
    <w:p w14:paraId="5C7E91EF" w14:textId="77777777" w:rsidR="00C830E8" w:rsidRDefault="00C830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B9575F"/>
    <w:multiLevelType w:val="hybridMultilevel"/>
    <w:tmpl w:val="5512EEB8"/>
    <w:lvl w:ilvl="0" w:tplc="912486B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33B56"/>
    <w:multiLevelType w:val="hybridMultilevel"/>
    <w:tmpl w:val="BD96AA56"/>
    <w:lvl w:ilvl="0" w:tplc="52227A9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D4A28"/>
    <w:multiLevelType w:val="hybridMultilevel"/>
    <w:tmpl w:val="1C4E60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01EB6"/>
    <w:multiLevelType w:val="hybridMultilevel"/>
    <w:tmpl w:val="B47EE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16533"/>
    <w:multiLevelType w:val="hybridMultilevel"/>
    <w:tmpl w:val="24C28FAA"/>
    <w:lvl w:ilvl="0" w:tplc="F8C4353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0C4131"/>
    <w:multiLevelType w:val="hybridMultilevel"/>
    <w:tmpl w:val="0409001D"/>
    <w:lvl w:ilvl="0" w:tplc="30187992">
      <w:start w:val="1"/>
      <w:numFmt w:val="decimal"/>
      <w:lvlText w:val="%1)"/>
      <w:lvlJc w:val="left"/>
      <w:pPr>
        <w:ind w:left="360" w:hanging="360"/>
      </w:pPr>
    </w:lvl>
    <w:lvl w:ilvl="1" w:tplc="678E447C">
      <w:start w:val="1"/>
      <w:numFmt w:val="lowerLetter"/>
      <w:lvlText w:val="%2)"/>
      <w:lvlJc w:val="left"/>
      <w:pPr>
        <w:ind w:left="720" w:hanging="360"/>
      </w:pPr>
    </w:lvl>
    <w:lvl w:ilvl="2" w:tplc="C63A43F0">
      <w:start w:val="1"/>
      <w:numFmt w:val="lowerRoman"/>
      <w:lvlText w:val="%3)"/>
      <w:lvlJc w:val="left"/>
      <w:pPr>
        <w:ind w:left="1080" w:hanging="360"/>
      </w:pPr>
    </w:lvl>
    <w:lvl w:ilvl="3" w:tplc="D234B086">
      <w:start w:val="1"/>
      <w:numFmt w:val="decimal"/>
      <w:lvlText w:val="(%4)"/>
      <w:lvlJc w:val="left"/>
      <w:pPr>
        <w:ind w:left="1440" w:hanging="360"/>
      </w:pPr>
    </w:lvl>
    <w:lvl w:ilvl="4" w:tplc="72989CCC">
      <w:start w:val="1"/>
      <w:numFmt w:val="lowerLetter"/>
      <w:lvlText w:val="(%5)"/>
      <w:lvlJc w:val="left"/>
      <w:pPr>
        <w:ind w:left="1800" w:hanging="360"/>
      </w:pPr>
    </w:lvl>
    <w:lvl w:ilvl="5" w:tplc="DF8EC496">
      <w:start w:val="1"/>
      <w:numFmt w:val="lowerRoman"/>
      <w:lvlText w:val="(%6)"/>
      <w:lvlJc w:val="left"/>
      <w:pPr>
        <w:ind w:left="2160" w:hanging="360"/>
      </w:pPr>
    </w:lvl>
    <w:lvl w:ilvl="6" w:tplc="3D90357A">
      <w:start w:val="1"/>
      <w:numFmt w:val="decimal"/>
      <w:lvlText w:val="%7."/>
      <w:lvlJc w:val="left"/>
      <w:pPr>
        <w:ind w:left="2520" w:hanging="360"/>
      </w:pPr>
    </w:lvl>
    <w:lvl w:ilvl="7" w:tplc="E52A1BA4">
      <w:start w:val="1"/>
      <w:numFmt w:val="lowerLetter"/>
      <w:lvlText w:val="%8."/>
      <w:lvlJc w:val="left"/>
      <w:pPr>
        <w:ind w:left="2880" w:hanging="360"/>
      </w:pPr>
    </w:lvl>
    <w:lvl w:ilvl="8" w:tplc="CF3A79E6">
      <w:start w:val="1"/>
      <w:numFmt w:val="lowerRoman"/>
      <w:lvlText w:val="%9."/>
      <w:lvlJc w:val="left"/>
      <w:pPr>
        <w:ind w:left="3240" w:hanging="360"/>
      </w:pPr>
    </w:lvl>
  </w:abstractNum>
  <w:abstractNum w:abstractNumId="7" w15:restartNumberingAfterBreak="0">
    <w:nsid w:val="1FC162D9"/>
    <w:multiLevelType w:val="hybridMultilevel"/>
    <w:tmpl w:val="C8CE00DC"/>
    <w:lvl w:ilvl="0" w:tplc="F3FA56B8">
      <w:start w:val="1"/>
      <w:numFmt w:val="bullet"/>
      <w:lvlText w:val=""/>
      <w:lvlJc w:val="left"/>
      <w:pPr>
        <w:tabs>
          <w:tab w:val="num" w:pos="720"/>
        </w:tabs>
        <w:ind w:left="720" w:hanging="360"/>
      </w:pPr>
      <w:rPr>
        <w:rFonts w:ascii="Symbol" w:hAnsi="Symbol" w:hint="default"/>
        <w:sz w:val="20"/>
      </w:rPr>
    </w:lvl>
    <w:lvl w:ilvl="1" w:tplc="40DE1A7E" w:tentative="1">
      <w:start w:val="1"/>
      <w:numFmt w:val="bullet"/>
      <w:lvlText w:val=""/>
      <w:lvlJc w:val="left"/>
      <w:pPr>
        <w:tabs>
          <w:tab w:val="num" w:pos="1440"/>
        </w:tabs>
        <w:ind w:left="1440" w:hanging="360"/>
      </w:pPr>
      <w:rPr>
        <w:rFonts w:ascii="Symbol" w:hAnsi="Symbol" w:hint="default"/>
        <w:sz w:val="20"/>
      </w:rPr>
    </w:lvl>
    <w:lvl w:ilvl="2" w:tplc="D1321900" w:tentative="1">
      <w:start w:val="1"/>
      <w:numFmt w:val="bullet"/>
      <w:lvlText w:val=""/>
      <w:lvlJc w:val="left"/>
      <w:pPr>
        <w:tabs>
          <w:tab w:val="num" w:pos="2160"/>
        </w:tabs>
        <w:ind w:left="2160" w:hanging="360"/>
      </w:pPr>
      <w:rPr>
        <w:rFonts w:ascii="Symbol" w:hAnsi="Symbol" w:hint="default"/>
        <w:sz w:val="20"/>
      </w:rPr>
    </w:lvl>
    <w:lvl w:ilvl="3" w:tplc="9C448A4E" w:tentative="1">
      <w:start w:val="1"/>
      <w:numFmt w:val="bullet"/>
      <w:lvlText w:val=""/>
      <w:lvlJc w:val="left"/>
      <w:pPr>
        <w:tabs>
          <w:tab w:val="num" w:pos="2880"/>
        </w:tabs>
        <w:ind w:left="2880" w:hanging="360"/>
      </w:pPr>
      <w:rPr>
        <w:rFonts w:ascii="Symbol" w:hAnsi="Symbol" w:hint="default"/>
        <w:sz w:val="20"/>
      </w:rPr>
    </w:lvl>
    <w:lvl w:ilvl="4" w:tplc="59B28B0A" w:tentative="1">
      <w:start w:val="1"/>
      <w:numFmt w:val="bullet"/>
      <w:lvlText w:val=""/>
      <w:lvlJc w:val="left"/>
      <w:pPr>
        <w:tabs>
          <w:tab w:val="num" w:pos="3600"/>
        </w:tabs>
        <w:ind w:left="3600" w:hanging="360"/>
      </w:pPr>
      <w:rPr>
        <w:rFonts w:ascii="Symbol" w:hAnsi="Symbol" w:hint="default"/>
        <w:sz w:val="20"/>
      </w:rPr>
    </w:lvl>
    <w:lvl w:ilvl="5" w:tplc="7AB8438E" w:tentative="1">
      <w:start w:val="1"/>
      <w:numFmt w:val="bullet"/>
      <w:lvlText w:val=""/>
      <w:lvlJc w:val="left"/>
      <w:pPr>
        <w:tabs>
          <w:tab w:val="num" w:pos="4320"/>
        </w:tabs>
        <w:ind w:left="4320" w:hanging="360"/>
      </w:pPr>
      <w:rPr>
        <w:rFonts w:ascii="Symbol" w:hAnsi="Symbol" w:hint="default"/>
        <w:sz w:val="20"/>
      </w:rPr>
    </w:lvl>
    <w:lvl w:ilvl="6" w:tplc="334C3E50" w:tentative="1">
      <w:start w:val="1"/>
      <w:numFmt w:val="bullet"/>
      <w:lvlText w:val=""/>
      <w:lvlJc w:val="left"/>
      <w:pPr>
        <w:tabs>
          <w:tab w:val="num" w:pos="5040"/>
        </w:tabs>
        <w:ind w:left="5040" w:hanging="360"/>
      </w:pPr>
      <w:rPr>
        <w:rFonts w:ascii="Symbol" w:hAnsi="Symbol" w:hint="default"/>
        <w:sz w:val="20"/>
      </w:rPr>
    </w:lvl>
    <w:lvl w:ilvl="7" w:tplc="FDB6E3C2" w:tentative="1">
      <w:start w:val="1"/>
      <w:numFmt w:val="bullet"/>
      <w:lvlText w:val=""/>
      <w:lvlJc w:val="left"/>
      <w:pPr>
        <w:tabs>
          <w:tab w:val="num" w:pos="5760"/>
        </w:tabs>
        <w:ind w:left="5760" w:hanging="360"/>
      </w:pPr>
      <w:rPr>
        <w:rFonts w:ascii="Symbol" w:hAnsi="Symbol" w:hint="default"/>
        <w:sz w:val="20"/>
      </w:rPr>
    </w:lvl>
    <w:lvl w:ilvl="8" w:tplc="29B4338E"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865231"/>
    <w:multiLevelType w:val="hybridMultilevel"/>
    <w:tmpl w:val="DEA03BD0"/>
    <w:lvl w:ilvl="0" w:tplc="0D8C23A0">
      <w:start w:val="1"/>
      <w:numFmt w:val="bullet"/>
      <w:lvlText w:val=""/>
      <w:lvlJc w:val="left"/>
      <w:pPr>
        <w:ind w:left="774" w:hanging="360"/>
      </w:pPr>
      <w:rPr>
        <w:rFonts w:ascii="Symbol" w:hAnsi="Symbol" w:hint="default"/>
        <w:sz w:val="20"/>
        <w:szCs w:val="20"/>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27B63E27"/>
    <w:multiLevelType w:val="hybridMultilevel"/>
    <w:tmpl w:val="EBBE9F42"/>
    <w:lvl w:ilvl="0" w:tplc="80BC0924">
      <w:start w:val="1"/>
      <w:numFmt w:val="bullet"/>
      <w:lvlText w:val=""/>
      <w:lvlJc w:val="left"/>
      <w:pPr>
        <w:ind w:left="720" w:hanging="360"/>
      </w:pPr>
      <w:rPr>
        <w:rFonts w:ascii="Symbol" w:hAnsi="Symbol" w:hint="default"/>
        <w:sz w:val="20"/>
        <w:szCs w:val="20"/>
      </w:rPr>
    </w:lvl>
    <w:lvl w:ilvl="1" w:tplc="3CF63704">
      <w:start w:val="1"/>
      <w:numFmt w:val="bullet"/>
      <w:lvlText w:val="o"/>
      <w:lvlJc w:val="left"/>
      <w:pPr>
        <w:ind w:left="1440" w:hanging="360"/>
      </w:pPr>
      <w:rPr>
        <w:rFonts w:ascii="Courier New" w:hAnsi="Courier New" w:cs="Courier New" w:hint="default"/>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8519F0"/>
    <w:multiLevelType w:val="hybridMultilevel"/>
    <w:tmpl w:val="A6769CF8"/>
    <w:lvl w:ilvl="0" w:tplc="4A46F252">
      <w:start w:val="1"/>
      <w:numFmt w:val="bullet"/>
      <w:lvlText w:val=""/>
      <w:lvlJc w:val="left"/>
      <w:pPr>
        <w:tabs>
          <w:tab w:val="num" w:pos="720"/>
        </w:tabs>
        <w:ind w:left="720" w:hanging="360"/>
      </w:pPr>
      <w:rPr>
        <w:rFonts w:ascii="Symbol" w:hAnsi="Symbol" w:hint="default"/>
        <w:sz w:val="20"/>
      </w:rPr>
    </w:lvl>
    <w:lvl w:ilvl="1" w:tplc="C436DC98" w:tentative="1">
      <w:start w:val="1"/>
      <w:numFmt w:val="bullet"/>
      <w:lvlText w:val="o"/>
      <w:lvlJc w:val="left"/>
      <w:pPr>
        <w:tabs>
          <w:tab w:val="num" w:pos="1440"/>
        </w:tabs>
        <w:ind w:left="1440" w:hanging="360"/>
      </w:pPr>
      <w:rPr>
        <w:rFonts w:ascii="Courier New" w:hAnsi="Courier New" w:hint="default"/>
        <w:sz w:val="20"/>
      </w:rPr>
    </w:lvl>
    <w:lvl w:ilvl="2" w:tplc="46465AA0" w:tentative="1">
      <w:start w:val="1"/>
      <w:numFmt w:val="bullet"/>
      <w:lvlText w:val=""/>
      <w:lvlJc w:val="left"/>
      <w:pPr>
        <w:tabs>
          <w:tab w:val="num" w:pos="2160"/>
        </w:tabs>
        <w:ind w:left="2160" w:hanging="360"/>
      </w:pPr>
      <w:rPr>
        <w:rFonts w:ascii="Wingdings" w:hAnsi="Wingdings" w:hint="default"/>
        <w:sz w:val="20"/>
      </w:rPr>
    </w:lvl>
    <w:lvl w:ilvl="3" w:tplc="33AE0688" w:tentative="1">
      <w:start w:val="1"/>
      <w:numFmt w:val="bullet"/>
      <w:lvlText w:val=""/>
      <w:lvlJc w:val="left"/>
      <w:pPr>
        <w:tabs>
          <w:tab w:val="num" w:pos="2880"/>
        </w:tabs>
        <w:ind w:left="2880" w:hanging="360"/>
      </w:pPr>
      <w:rPr>
        <w:rFonts w:ascii="Wingdings" w:hAnsi="Wingdings" w:hint="default"/>
        <w:sz w:val="20"/>
      </w:rPr>
    </w:lvl>
    <w:lvl w:ilvl="4" w:tplc="DBD4D33C" w:tentative="1">
      <w:start w:val="1"/>
      <w:numFmt w:val="bullet"/>
      <w:lvlText w:val=""/>
      <w:lvlJc w:val="left"/>
      <w:pPr>
        <w:tabs>
          <w:tab w:val="num" w:pos="3600"/>
        </w:tabs>
        <w:ind w:left="3600" w:hanging="360"/>
      </w:pPr>
      <w:rPr>
        <w:rFonts w:ascii="Wingdings" w:hAnsi="Wingdings" w:hint="default"/>
        <w:sz w:val="20"/>
      </w:rPr>
    </w:lvl>
    <w:lvl w:ilvl="5" w:tplc="5B58D2E4" w:tentative="1">
      <w:start w:val="1"/>
      <w:numFmt w:val="bullet"/>
      <w:lvlText w:val=""/>
      <w:lvlJc w:val="left"/>
      <w:pPr>
        <w:tabs>
          <w:tab w:val="num" w:pos="4320"/>
        </w:tabs>
        <w:ind w:left="4320" w:hanging="360"/>
      </w:pPr>
      <w:rPr>
        <w:rFonts w:ascii="Wingdings" w:hAnsi="Wingdings" w:hint="default"/>
        <w:sz w:val="20"/>
      </w:rPr>
    </w:lvl>
    <w:lvl w:ilvl="6" w:tplc="2A86E436" w:tentative="1">
      <w:start w:val="1"/>
      <w:numFmt w:val="bullet"/>
      <w:lvlText w:val=""/>
      <w:lvlJc w:val="left"/>
      <w:pPr>
        <w:tabs>
          <w:tab w:val="num" w:pos="5040"/>
        </w:tabs>
        <w:ind w:left="5040" w:hanging="360"/>
      </w:pPr>
      <w:rPr>
        <w:rFonts w:ascii="Wingdings" w:hAnsi="Wingdings" w:hint="default"/>
        <w:sz w:val="20"/>
      </w:rPr>
    </w:lvl>
    <w:lvl w:ilvl="7" w:tplc="A368391C" w:tentative="1">
      <w:start w:val="1"/>
      <w:numFmt w:val="bullet"/>
      <w:lvlText w:val=""/>
      <w:lvlJc w:val="left"/>
      <w:pPr>
        <w:tabs>
          <w:tab w:val="num" w:pos="5760"/>
        </w:tabs>
        <w:ind w:left="5760" w:hanging="360"/>
      </w:pPr>
      <w:rPr>
        <w:rFonts w:ascii="Wingdings" w:hAnsi="Wingdings" w:hint="default"/>
        <w:sz w:val="20"/>
      </w:rPr>
    </w:lvl>
    <w:lvl w:ilvl="8" w:tplc="4CEA1590"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944700"/>
    <w:multiLevelType w:val="hybridMultilevel"/>
    <w:tmpl w:val="0A2CA7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A5643"/>
    <w:multiLevelType w:val="hybridMultilevel"/>
    <w:tmpl w:val="E7541D96"/>
    <w:lvl w:ilvl="0" w:tplc="7CEA7C02">
      <w:start w:val="3"/>
      <w:numFmt w:val="bullet"/>
      <w:lvlText w:val=""/>
      <w:lvlJc w:val="left"/>
      <w:pPr>
        <w:ind w:left="360" w:hanging="360"/>
      </w:pPr>
      <w:rPr>
        <w:rFonts w:ascii="Symbol" w:eastAsia="Calibri" w:hAnsi="Symbol" w:cs="Aria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260FF9"/>
    <w:multiLevelType w:val="hybridMultilevel"/>
    <w:tmpl w:val="D51C13EC"/>
    <w:lvl w:ilvl="0" w:tplc="B250265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C54F13"/>
    <w:multiLevelType w:val="hybridMultilevel"/>
    <w:tmpl w:val="7E504710"/>
    <w:lvl w:ilvl="0" w:tplc="83527AEE">
      <w:numFmt w:val="bullet"/>
      <w:lvlText w:val="•"/>
      <w:lvlJc w:val="left"/>
      <w:pPr>
        <w:ind w:left="720" w:hanging="360"/>
      </w:pPr>
      <w:rPr>
        <w:rFonts w:asciiTheme="minorHAnsi" w:eastAsiaTheme="minorHAnsi" w:hAnsiTheme="minorHAns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403FEE"/>
    <w:multiLevelType w:val="hybridMultilevel"/>
    <w:tmpl w:val="2348C90C"/>
    <w:lvl w:ilvl="0" w:tplc="8FE4C35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E7B2C"/>
    <w:multiLevelType w:val="hybridMultilevel"/>
    <w:tmpl w:val="FB0CB576"/>
    <w:lvl w:ilvl="0" w:tplc="1334F0B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C44EA3"/>
    <w:multiLevelType w:val="hybridMultilevel"/>
    <w:tmpl w:val="0409001D"/>
    <w:lvl w:ilvl="0" w:tplc="DA824DEE">
      <w:start w:val="1"/>
      <w:numFmt w:val="decimal"/>
      <w:lvlText w:val="%1)"/>
      <w:lvlJc w:val="left"/>
      <w:pPr>
        <w:ind w:left="360" w:hanging="360"/>
      </w:pPr>
    </w:lvl>
    <w:lvl w:ilvl="1" w:tplc="1F600C6E">
      <w:start w:val="1"/>
      <w:numFmt w:val="lowerLetter"/>
      <w:lvlText w:val="%2)"/>
      <w:lvlJc w:val="left"/>
      <w:pPr>
        <w:ind w:left="720" w:hanging="360"/>
      </w:pPr>
    </w:lvl>
    <w:lvl w:ilvl="2" w:tplc="5CFA5956">
      <w:start w:val="1"/>
      <w:numFmt w:val="lowerRoman"/>
      <w:lvlText w:val="%3)"/>
      <w:lvlJc w:val="left"/>
      <w:pPr>
        <w:ind w:left="1080" w:hanging="360"/>
      </w:pPr>
    </w:lvl>
    <w:lvl w:ilvl="3" w:tplc="9F10B044">
      <w:start w:val="1"/>
      <w:numFmt w:val="decimal"/>
      <w:lvlText w:val="(%4)"/>
      <w:lvlJc w:val="left"/>
      <w:pPr>
        <w:ind w:left="1440" w:hanging="360"/>
      </w:pPr>
    </w:lvl>
    <w:lvl w:ilvl="4" w:tplc="A1ACDA94">
      <w:start w:val="1"/>
      <w:numFmt w:val="lowerLetter"/>
      <w:lvlText w:val="(%5)"/>
      <w:lvlJc w:val="left"/>
      <w:pPr>
        <w:ind w:left="1800" w:hanging="360"/>
      </w:pPr>
    </w:lvl>
    <w:lvl w:ilvl="5" w:tplc="06789728">
      <w:start w:val="1"/>
      <w:numFmt w:val="lowerRoman"/>
      <w:lvlText w:val="(%6)"/>
      <w:lvlJc w:val="left"/>
      <w:pPr>
        <w:ind w:left="2160" w:hanging="360"/>
      </w:pPr>
    </w:lvl>
    <w:lvl w:ilvl="6" w:tplc="3D483C12">
      <w:start w:val="1"/>
      <w:numFmt w:val="decimal"/>
      <w:lvlText w:val="%7."/>
      <w:lvlJc w:val="left"/>
      <w:pPr>
        <w:ind w:left="2520" w:hanging="360"/>
      </w:pPr>
    </w:lvl>
    <w:lvl w:ilvl="7" w:tplc="D46262AE">
      <w:start w:val="1"/>
      <w:numFmt w:val="lowerLetter"/>
      <w:lvlText w:val="%8."/>
      <w:lvlJc w:val="left"/>
      <w:pPr>
        <w:ind w:left="2880" w:hanging="360"/>
      </w:pPr>
    </w:lvl>
    <w:lvl w:ilvl="8" w:tplc="3D4050A8">
      <w:start w:val="1"/>
      <w:numFmt w:val="lowerRoman"/>
      <w:lvlText w:val="%9."/>
      <w:lvlJc w:val="left"/>
      <w:pPr>
        <w:ind w:left="3240" w:hanging="360"/>
      </w:pPr>
    </w:lvl>
  </w:abstractNum>
  <w:abstractNum w:abstractNumId="18" w15:restartNumberingAfterBreak="0">
    <w:nsid w:val="43CC3ECB"/>
    <w:multiLevelType w:val="hybridMultilevel"/>
    <w:tmpl w:val="65305D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19398E"/>
    <w:multiLevelType w:val="hybridMultilevel"/>
    <w:tmpl w:val="162C00A0"/>
    <w:lvl w:ilvl="0" w:tplc="391EC7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422E84"/>
    <w:multiLevelType w:val="hybridMultilevel"/>
    <w:tmpl w:val="0409001D"/>
    <w:lvl w:ilvl="0" w:tplc="E200B1B0">
      <w:start w:val="1"/>
      <w:numFmt w:val="decimal"/>
      <w:lvlText w:val="%1)"/>
      <w:lvlJc w:val="left"/>
      <w:pPr>
        <w:ind w:left="1080" w:hanging="360"/>
      </w:pPr>
    </w:lvl>
    <w:lvl w:ilvl="1" w:tplc="64A6A702">
      <w:start w:val="1"/>
      <w:numFmt w:val="lowerLetter"/>
      <w:lvlText w:val="%2)"/>
      <w:lvlJc w:val="left"/>
      <w:pPr>
        <w:ind w:left="1440" w:hanging="360"/>
      </w:pPr>
    </w:lvl>
    <w:lvl w:ilvl="2" w:tplc="79900B3E">
      <w:start w:val="1"/>
      <w:numFmt w:val="lowerRoman"/>
      <w:lvlText w:val="%3)"/>
      <w:lvlJc w:val="left"/>
      <w:pPr>
        <w:ind w:left="1800" w:hanging="360"/>
      </w:pPr>
    </w:lvl>
    <w:lvl w:ilvl="3" w:tplc="C17AE7D2">
      <w:start w:val="1"/>
      <w:numFmt w:val="decimal"/>
      <w:lvlText w:val="(%4)"/>
      <w:lvlJc w:val="left"/>
      <w:pPr>
        <w:ind w:left="2160" w:hanging="360"/>
      </w:pPr>
    </w:lvl>
    <w:lvl w:ilvl="4" w:tplc="E48A2E4E">
      <w:start w:val="1"/>
      <w:numFmt w:val="lowerLetter"/>
      <w:lvlText w:val="(%5)"/>
      <w:lvlJc w:val="left"/>
      <w:pPr>
        <w:ind w:left="2520" w:hanging="360"/>
      </w:pPr>
    </w:lvl>
    <w:lvl w:ilvl="5" w:tplc="DE445300">
      <w:start w:val="1"/>
      <w:numFmt w:val="lowerRoman"/>
      <w:lvlText w:val="(%6)"/>
      <w:lvlJc w:val="left"/>
      <w:pPr>
        <w:ind w:left="2880" w:hanging="360"/>
      </w:pPr>
    </w:lvl>
    <w:lvl w:ilvl="6" w:tplc="AD6E06CC">
      <w:start w:val="1"/>
      <w:numFmt w:val="decimal"/>
      <w:lvlText w:val="%7."/>
      <w:lvlJc w:val="left"/>
      <w:pPr>
        <w:ind w:left="3240" w:hanging="360"/>
      </w:pPr>
    </w:lvl>
    <w:lvl w:ilvl="7" w:tplc="01602998">
      <w:start w:val="1"/>
      <w:numFmt w:val="lowerLetter"/>
      <w:lvlText w:val="%8."/>
      <w:lvlJc w:val="left"/>
      <w:pPr>
        <w:ind w:left="3600" w:hanging="360"/>
      </w:pPr>
    </w:lvl>
    <w:lvl w:ilvl="8" w:tplc="1C30E2F0">
      <w:start w:val="1"/>
      <w:numFmt w:val="lowerRoman"/>
      <w:lvlText w:val="%9."/>
      <w:lvlJc w:val="left"/>
      <w:pPr>
        <w:ind w:left="3960" w:hanging="360"/>
      </w:pPr>
    </w:lvl>
  </w:abstractNum>
  <w:abstractNum w:abstractNumId="21" w15:restartNumberingAfterBreak="0">
    <w:nsid w:val="4EA424FA"/>
    <w:multiLevelType w:val="hybridMultilevel"/>
    <w:tmpl w:val="8CA666B4"/>
    <w:lvl w:ilvl="0" w:tplc="902C4B1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895CB5"/>
    <w:multiLevelType w:val="hybridMultilevel"/>
    <w:tmpl w:val="53CE6936"/>
    <w:lvl w:ilvl="0" w:tplc="CA080904">
      <w:start w:val="1"/>
      <w:numFmt w:val="bullet"/>
      <w:lvlText w:val=""/>
      <w:lvlJc w:val="left"/>
      <w:pPr>
        <w:ind w:left="720" w:hanging="360"/>
      </w:pPr>
      <w:rPr>
        <w:rFonts w:ascii="Symbol" w:hAnsi="Symbol" w:hint="default"/>
        <w:sz w:val="20"/>
        <w:szCs w:val="20"/>
      </w:rPr>
    </w:lvl>
    <w:lvl w:ilvl="1" w:tplc="A75E29EE">
      <w:start w:val="1"/>
      <w:numFmt w:val="bullet"/>
      <w:lvlText w:val="o"/>
      <w:lvlJc w:val="left"/>
      <w:pPr>
        <w:ind w:left="1440" w:hanging="360"/>
      </w:pPr>
      <w:rPr>
        <w:rFonts w:ascii="Courier New" w:hAnsi="Courier New" w:cs="Courier New" w:hint="default"/>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8C6D0F"/>
    <w:multiLevelType w:val="hybridMultilevel"/>
    <w:tmpl w:val="DD023D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A70344"/>
    <w:multiLevelType w:val="multilevel"/>
    <w:tmpl w:val="598CD536"/>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637C4EC4"/>
    <w:multiLevelType w:val="hybridMultilevel"/>
    <w:tmpl w:val="28D27DF8"/>
    <w:lvl w:ilvl="0" w:tplc="FF283410">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CA41C96"/>
    <w:multiLevelType w:val="hybridMultilevel"/>
    <w:tmpl w:val="F0BE36E0"/>
    <w:lvl w:ilvl="0" w:tplc="AC78F1B6">
      <w:start w:val="1"/>
      <w:numFmt w:val="bullet"/>
      <w:lvlText w:val=""/>
      <w:lvlJc w:val="left"/>
      <w:pPr>
        <w:ind w:left="720" w:hanging="360"/>
      </w:pPr>
      <w:rPr>
        <w:rFonts w:ascii="Symbol" w:hAnsi="Symbol" w:hint="default"/>
        <w:sz w:val="20"/>
        <w:szCs w:val="20"/>
      </w:rPr>
    </w:lvl>
    <w:lvl w:ilvl="1" w:tplc="34D67302">
      <w:start w:val="1"/>
      <w:numFmt w:val="bullet"/>
      <w:lvlText w:val="o"/>
      <w:lvlJc w:val="left"/>
      <w:pPr>
        <w:ind w:left="1440" w:hanging="360"/>
      </w:pPr>
      <w:rPr>
        <w:rFonts w:ascii="Courier New" w:hAnsi="Courier New" w:hint="default"/>
      </w:rPr>
    </w:lvl>
    <w:lvl w:ilvl="2" w:tplc="832811AC">
      <w:start w:val="1"/>
      <w:numFmt w:val="bullet"/>
      <w:lvlText w:val=""/>
      <w:lvlJc w:val="left"/>
      <w:pPr>
        <w:ind w:left="2160" w:hanging="360"/>
      </w:pPr>
      <w:rPr>
        <w:rFonts w:ascii="Wingdings" w:hAnsi="Wingdings" w:hint="default"/>
      </w:rPr>
    </w:lvl>
    <w:lvl w:ilvl="3" w:tplc="606EE4FE">
      <w:start w:val="1"/>
      <w:numFmt w:val="bullet"/>
      <w:lvlText w:val=""/>
      <w:lvlJc w:val="left"/>
      <w:pPr>
        <w:ind w:left="2880" w:hanging="360"/>
      </w:pPr>
      <w:rPr>
        <w:rFonts w:ascii="Symbol" w:hAnsi="Symbol" w:hint="default"/>
      </w:rPr>
    </w:lvl>
    <w:lvl w:ilvl="4" w:tplc="7174025A">
      <w:start w:val="1"/>
      <w:numFmt w:val="bullet"/>
      <w:lvlText w:val="o"/>
      <w:lvlJc w:val="left"/>
      <w:pPr>
        <w:ind w:left="3600" w:hanging="360"/>
      </w:pPr>
      <w:rPr>
        <w:rFonts w:ascii="Courier New" w:hAnsi="Courier New" w:hint="default"/>
      </w:rPr>
    </w:lvl>
    <w:lvl w:ilvl="5" w:tplc="7C240F2A">
      <w:start w:val="1"/>
      <w:numFmt w:val="bullet"/>
      <w:lvlText w:val=""/>
      <w:lvlJc w:val="left"/>
      <w:pPr>
        <w:ind w:left="4320" w:hanging="360"/>
      </w:pPr>
      <w:rPr>
        <w:rFonts w:ascii="Wingdings" w:hAnsi="Wingdings" w:hint="default"/>
      </w:rPr>
    </w:lvl>
    <w:lvl w:ilvl="6" w:tplc="1E1465E4">
      <w:start w:val="1"/>
      <w:numFmt w:val="bullet"/>
      <w:lvlText w:val=""/>
      <w:lvlJc w:val="left"/>
      <w:pPr>
        <w:ind w:left="5040" w:hanging="360"/>
      </w:pPr>
      <w:rPr>
        <w:rFonts w:ascii="Symbol" w:hAnsi="Symbol" w:hint="default"/>
      </w:rPr>
    </w:lvl>
    <w:lvl w:ilvl="7" w:tplc="54C6C338">
      <w:start w:val="1"/>
      <w:numFmt w:val="bullet"/>
      <w:lvlText w:val="o"/>
      <w:lvlJc w:val="left"/>
      <w:pPr>
        <w:ind w:left="5760" w:hanging="360"/>
      </w:pPr>
      <w:rPr>
        <w:rFonts w:ascii="Courier New" w:hAnsi="Courier New" w:hint="default"/>
      </w:rPr>
    </w:lvl>
    <w:lvl w:ilvl="8" w:tplc="DCE27EB0">
      <w:start w:val="1"/>
      <w:numFmt w:val="bullet"/>
      <w:lvlText w:val=""/>
      <w:lvlJc w:val="left"/>
      <w:pPr>
        <w:ind w:left="6480" w:hanging="360"/>
      </w:pPr>
      <w:rPr>
        <w:rFonts w:ascii="Wingdings" w:hAnsi="Wingdings" w:hint="default"/>
      </w:rPr>
    </w:lvl>
  </w:abstractNum>
  <w:abstractNum w:abstractNumId="27" w15:restartNumberingAfterBreak="0">
    <w:nsid w:val="6D41220D"/>
    <w:multiLevelType w:val="hybridMultilevel"/>
    <w:tmpl w:val="033EC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107894"/>
    <w:multiLevelType w:val="hybridMultilevel"/>
    <w:tmpl w:val="80DE4D44"/>
    <w:lvl w:ilvl="0" w:tplc="4F3AF3DC">
      <w:start w:val="1"/>
      <w:numFmt w:val="decimal"/>
      <w:lvlText w:val="%1)"/>
      <w:lvlJc w:val="left"/>
      <w:pPr>
        <w:ind w:left="360" w:hanging="360"/>
      </w:pPr>
      <w:rPr>
        <w:rFonts w:hint="default"/>
      </w:rPr>
    </w:lvl>
    <w:lvl w:ilvl="1" w:tplc="09E25FF2">
      <w:start w:val="1"/>
      <w:numFmt w:val="lowerLetter"/>
      <w:lvlText w:val="%2)"/>
      <w:lvlJc w:val="left"/>
      <w:pPr>
        <w:ind w:left="720" w:hanging="360"/>
      </w:pPr>
      <w:rPr>
        <w:rFonts w:hint="default"/>
        <w:b w:val="0"/>
        <w:bCs w:val="0"/>
      </w:rPr>
    </w:lvl>
    <w:lvl w:ilvl="2" w:tplc="5AB678B8">
      <w:start w:val="1"/>
      <w:numFmt w:val="lowerRoman"/>
      <w:lvlText w:val="%3)"/>
      <w:lvlJc w:val="left"/>
      <w:pPr>
        <w:ind w:left="1080" w:hanging="360"/>
      </w:pPr>
      <w:rPr>
        <w:rFonts w:hint="default"/>
      </w:rPr>
    </w:lvl>
    <w:lvl w:ilvl="3" w:tplc="96A6E5FA">
      <w:start w:val="1"/>
      <w:numFmt w:val="decimal"/>
      <w:lvlText w:val="(%4)"/>
      <w:lvlJc w:val="left"/>
      <w:pPr>
        <w:ind w:left="1440" w:hanging="360"/>
      </w:pPr>
      <w:rPr>
        <w:rFonts w:hint="default"/>
      </w:rPr>
    </w:lvl>
    <w:lvl w:ilvl="4" w:tplc="5D5885B4">
      <w:start w:val="1"/>
      <w:numFmt w:val="lowerLetter"/>
      <w:lvlText w:val="(%5)"/>
      <w:lvlJc w:val="left"/>
      <w:pPr>
        <w:ind w:left="1800" w:hanging="360"/>
      </w:pPr>
      <w:rPr>
        <w:rFonts w:hint="default"/>
      </w:rPr>
    </w:lvl>
    <w:lvl w:ilvl="5" w:tplc="BE50B882">
      <w:start w:val="1"/>
      <w:numFmt w:val="lowerRoman"/>
      <w:lvlText w:val="(%6)"/>
      <w:lvlJc w:val="left"/>
      <w:pPr>
        <w:ind w:left="2160" w:hanging="360"/>
      </w:pPr>
      <w:rPr>
        <w:rFonts w:hint="default"/>
      </w:rPr>
    </w:lvl>
    <w:lvl w:ilvl="6" w:tplc="01F0D152">
      <w:start w:val="1"/>
      <w:numFmt w:val="decimal"/>
      <w:lvlText w:val="%7."/>
      <w:lvlJc w:val="left"/>
      <w:pPr>
        <w:ind w:left="2520" w:hanging="360"/>
      </w:pPr>
      <w:rPr>
        <w:rFonts w:hint="default"/>
      </w:rPr>
    </w:lvl>
    <w:lvl w:ilvl="7" w:tplc="DDFA8180">
      <w:start w:val="1"/>
      <w:numFmt w:val="lowerLetter"/>
      <w:lvlText w:val="%8."/>
      <w:lvlJc w:val="left"/>
      <w:pPr>
        <w:ind w:left="2880" w:hanging="360"/>
      </w:pPr>
      <w:rPr>
        <w:rFonts w:hint="default"/>
      </w:rPr>
    </w:lvl>
    <w:lvl w:ilvl="8" w:tplc="839EAA24">
      <w:start w:val="1"/>
      <w:numFmt w:val="lowerRoman"/>
      <w:lvlText w:val="%9."/>
      <w:lvlJc w:val="left"/>
      <w:pPr>
        <w:ind w:left="3240" w:hanging="360"/>
      </w:pPr>
      <w:rPr>
        <w:rFonts w:hint="default"/>
      </w:rPr>
    </w:lvl>
  </w:abstractNum>
  <w:abstractNum w:abstractNumId="29" w15:restartNumberingAfterBreak="0">
    <w:nsid w:val="76F27103"/>
    <w:multiLevelType w:val="hybridMultilevel"/>
    <w:tmpl w:val="B47EE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382C50"/>
    <w:multiLevelType w:val="hybridMultilevel"/>
    <w:tmpl w:val="B438380A"/>
    <w:lvl w:ilvl="0" w:tplc="B652F8E6">
      <w:start w:val="1"/>
      <w:numFmt w:val="bullet"/>
      <w:lvlText w:val=""/>
      <w:lvlJc w:val="left"/>
      <w:pPr>
        <w:ind w:left="720" w:hanging="360"/>
      </w:pPr>
      <w:rPr>
        <w:rFonts w:ascii="Symbol" w:hAnsi="Symbol" w:hint="default"/>
      </w:rPr>
    </w:lvl>
    <w:lvl w:ilvl="1" w:tplc="61D46C90">
      <w:start w:val="1"/>
      <w:numFmt w:val="bullet"/>
      <w:lvlText w:val=""/>
      <w:lvlJc w:val="left"/>
      <w:pPr>
        <w:ind w:left="1440" w:hanging="360"/>
      </w:pPr>
      <w:rPr>
        <w:rFonts w:ascii="Symbol" w:hAnsi="Symbol" w:hint="default"/>
        <w:sz w:val="20"/>
        <w:szCs w:val="20"/>
      </w:rPr>
    </w:lvl>
    <w:lvl w:ilvl="2" w:tplc="9C34E622">
      <w:start w:val="1"/>
      <w:numFmt w:val="bullet"/>
      <w:lvlText w:val=""/>
      <w:lvlJc w:val="left"/>
      <w:pPr>
        <w:ind w:left="2160" w:hanging="360"/>
      </w:pPr>
      <w:rPr>
        <w:rFonts w:ascii="Wingdings" w:hAnsi="Wingdings" w:hint="default"/>
      </w:rPr>
    </w:lvl>
    <w:lvl w:ilvl="3" w:tplc="568483F4">
      <w:start w:val="1"/>
      <w:numFmt w:val="bullet"/>
      <w:lvlText w:val=""/>
      <w:lvlJc w:val="left"/>
      <w:pPr>
        <w:ind w:left="2880" w:hanging="360"/>
      </w:pPr>
      <w:rPr>
        <w:rFonts w:ascii="Symbol" w:hAnsi="Symbol" w:hint="default"/>
      </w:rPr>
    </w:lvl>
    <w:lvl w:ilvl="4" w:tplc="9128114C">
      <w:start w:val="1"/>
      <w:numFmt w:val="bullet"/>
      <w:lvlText w:val="o"/>
      <w:lvlJc w:val="left"/>
      <w:pPr>
        <w:ind w:left="3600" w:hanging="360"/>
      </w:pPr>
      <w:rPr>
        <w:rFonts w:ascii="Courier New" w:hAnsi="Courier New" w:hint="default"/>
      </w:rPr>
    </w:lvl>
    <w:lvl w:ilvl="5" w:tplc="0B041D7C">
      <w:start w:val="1"/>
      <w:numFmt w:val="bullet"/>
      <w:lvlText w:val=""/>
      <w:lvlJc w:val="left"/>
      <w:pPr>
        <w:ind w:left="4320" w:hanging="360"/>
      </w:pPr>
      <w:rPr>
        <w:rFonts w:ascii="Wingdings" w:hAnsi="Wingdings" w:hint="default"/>
      </w:rPr>
    </w:lvl>
    <w:lvl w:ilvl="6" w:tplc="6DDC2B0A">
      <w:start w:val="1"/>
      <w:numFmt w:val="bullet"/>
      <w:lvlText w:val=""/>
      <w:lvlJc w:val="left"/>
      <w:pPr>
        <w:ind w:left="5040" w:hanging="360"/>
      </w:pPr>
      <w:rPr>
        <w:rFonts w:ascii="Symbol" w:hAnsi="Symbol" w:hint="default"/>
      </w:rPr>
    </w:lvl>
    <w:lvl w:ilvl="7" w:tplc="8D4C17A2">
      <w:start w:val="1"/>
      <w:numFmt w:val="bullet"/>
      <w:lvlText w:val="o"/>
      <w:lvlJc w:val="left"/>
      <w:pPr>
        <w:ind w:left="5760" w:hanging="360"/>
      </w:pPr>
      <w:rPr>
        <w:rFonts w:ascii="Courier New" w:hAnsi="Courier New" w:hint="default"/>
      </w:rPr>
    </w:lvl>
    <w:lvl w:ilvl="8" w:tplc="E9B2D32C">
      <w:start w:val="1"/>
      <w:numFmt w:val="bullet"/>
      <w:lvlText w:val=""/>
      <w:lvlJc w:val="left"/>
      <w:pPr>
        <w:ind w:left="6480" w:hanging="360"/>
      </w:pPr>
      <w:rPr>
        <w:rFonts w:ascii="Wingdings" w:hAnsi="Wingdings" w:hint="default"/>
      </w:rPr>
    </w:lvl>
  </w:abstractNum>
  <w:abstractNum w:abstractNumId="31" w15:restartNumberingAfterBreak="0">
    <w:nsid w:val="7F9669B1"/>
    <w:multiLevelType w:val="hybridMultilevel"/>
    <w:tmpl w:val="DADE1C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5"/>
  </w:num>
  <w:num w:numId="3">
    <w:abstractNumId w:val="13"/>
  </w:num>
  <w:num w:numId="4">
    <w:abstractNumId w:val="24"/>
  </w:num>
  <w:num w:numId="5">
    <w:abstractNumId w:val="30"/>
  </w:num>
  <w:num w:numId="6">
    <w:abstractNumId w:val="26"/>
  </w:num>
  <w:num w:numId="7">
    <w:abstractNumId w:val="12"/>
  </w:num>
  <w:num w:numId="8">
    <w:abstractNumId w:val="10"/>
  </w:num>
  <w:num w:numId="9">
    <w:abstractNumId w:val="15"/>
  </w:num>
  <w:num w:numId="10">
    <w:abstractNumId w:val="2"/>
  </w:num>
  <w:num w:numId="11">
    <w:abstractNumId w:val="19"/>
  </w:num>
  <w:num w:numId="12">
    <w:abstractNumId w:val="1"/>
  </w:num>
  <w:num w:numId="13">
    <w:abstractNumId w:val="21"/>
  </w:num>
  <w:num w:numId="14">
    <w:abstractNumId w:val="5"/>
  </w:num>
  <w:num w:numId="15">
    <w:abstractNumId w:val="7"/>
  </w:num>
  <w:num w:numId="16">
    <w:abstractNumId w:val="11"/>
  </w:num>
  <w:num w:numId="17">
    <w:abstractNumId w:val="4"/>
  </w:num>
  <w:num w:numId="18">
    <w:abstractNumId w:val="29"/>
  </w:num>
  <w:num w:numId="19">
    <w:abstractNumId w:val="3"/>
  </w:num>
  <w:num w:numId="20">
    <w:abstractNumId w:val="23"/>
  </w:num>
  <w:num w:numId="21">
    <w:abstractNumId w:val="8"/>
  </w:num>
  <w:num w:numId="22">
    <w:abstractNumId w:val="18"/>
  </w:num>
  <w:num w:numId="23">
    <w:abstractNumId w:val="22"/>
  </w:num>
  <w:num w:numId="24">
    <w:abstractNumId w:val="28"/>
  </w:num>
  <w:num w:numId="25">
    <w:abstractNumId w:val="6"/>
  </w:num>
  <w:num w:numId="26">
    <w:abstractNumId w:val="20"/>
  </w:num>
  <w:num w:numId="27">
    <w:abstractNumId w:val="17"/>
  </w:num>
  <w:num w:numId="28">
    <w:abstractNumId w:val="9"/>
  </w:num>
  <w:num w:numId="29">
    <w:abstractNumId w:val="16"/>
  </w:num>
  <w:num w:numId="30">
    <w:abstractNumId w:val="27"/>
  </w:num>
  <w:num w:numId="31">
    <w:abstractNumId w:val="31"/>
  </w:num>
  <w:num w:numId="32">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drawingGridHorizontalSpacing w:val="110"/>
  <w:displayHorizontalDrawingGridEvery w:val="2"/>
  <w:doNotShadeFormData/>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yMDUzMTI3MTawMDFS0lEKTi0uzszPAykwNK8FAIKiExUtAAAA"/>
  </w:docVars>
  <w:rsids>
    <w:rsidRoot w:val="0027518E"/>
    <w:rsid w:val="00005B01"/>
    <w:rsid w:val="00006BB8"/>
    <w:rsid w:val="00007BCC"/>
    <w:rsid w:val="000103BC"/>
    <w:rsid w:val="00010564"/>
    <w:rsid w:val="00011838"/>
    <w:rsid w:val="00017F49"/>
    <w:rsid w:val="00020003"/>
    <w:rsid w:val="0002043E"/>
    <w:rsid w:val="000214EC"/>
    <w:rsid w:val="00026CC5"/>
    <w:rsid w:val="00027AB7"/>
    <w:rsid w:val="00027D3B"/>
    <w:rsid w:val="00030D06"/>
    <w:rsid w:val="000313AF"/>
    <w:rsid w:val="00031B86"/>
    <w:rsid w:val="00032A3F"/>
    <w:rsid w:val="0003316D"/>
    <w:rsid w:val="000334D0"/>
    <w:rsid w:val="00034D1C"/>
    <w:rsid w:val="00036B8B"/>
    <w:rsid w:val="00037B45"/>
    <w:rsid w:val="00040D43"/>
    <w:rsid w:val="0004137F"/>
    <w:rsid w:val="000416D3"/>
    <w:rsid w:val="000430F4"/>
    <w:rsid w:val="00043EEB"/>
    <w:rsid w:val="00044649"/>
    <w:rsid w:val="00045708"/>
    <w:rsid w:val="00045DFB"/>
    <w:rsid w:val="000467F2"/>
    <w:rsid w:val="00047E65"/>
    <w:rsid w:val="00052C7F"/>
    <w:rsid w:val="00054C59"/>
    <w:rsid w:val="0005646C"/>
    <w:rsid w:val="00056682"/>
    <w:rsid w:val="00057E42"/>
    <w:rsid w:val="00060EE5"/>
    <w:rsid w:val="0006543C"/>
    <w:rsid w:val="00065A66"/>
    <w:rsid w:val="000707B5"/>
    <w:rsid w:val="00070CB4"/>
    <w:rsid w:val="00071B66"/>
    <w:rsid w:val="00073580"/>
    <w:rsid w:val="00075C1C"/>
    <w:rsid w:val="00080EC3"/>
    <w:rsid w:val="000832ED"/>
    <w:rsid w:val="000839F1"/>
    <w:rsid w:val="00085D74"/>
    <w:rsid w:val="00090B5C"/>
    <w:rsid w:val="00090F71"/>
    <w:rsid w:val="00095B9B"/>
    <w:rsid w:val="00096C26"/>
    <w:rsid w:val="00097097"/>
    <w:rsid w:val="00097B05"/>
    <w:rsid w:val="000A445F"/>
    <w:rsid w:val="000A70AD"/>
    <w:rsid w:val="000A7B5E"/>
    <w:rsid w:val="000B09D7"/>
    <w:rsid w:val="000B2A70"/>
    <w:rsid w:val="000B5172"/>
    <w:rsid w:val="000B5C64"/>
    <w:rsid w:val="000C0598"/>
    <w:rsid w:val="000C2C5B"/>
    <w:rsid w:val="000C464B"/>
    <w:rsid w:val="000C7254"/>
    <w:rsid w:val="000C74AB"/>
    <w:rsid w:val="000D0032"/>
    <w:rsid w:val="000D2F03"/>
    <w:rsid w:val="000D39D4"/>
    <w:rsid w:val="000D4FB4"/>
    <w:rsid w:val="000D5563"/>
    <w:rsid w:val="000D7984"/>
    <w:rsid w:val="000E00A2"/>
    <w:rsid w:val="000E05DC"/>
    <w:rsid w:val="000E13CB"/>
    <w:rsid w:val="000E1774"/>
    <w:rsid w:val="000E2C4E"/>
    <w:rsid w:val="000E422E"/>
    <w:rsid w:val="000E4604"/>
    <w:rsid w:val="000E74AA"/>
    <w:rsid w:val="000F24C7"/>
    <w:rsid w:val="000F27B2"/>
    <w:rsid w:val="000F2C20"/>
    <w:rsid w:val="000F3C04"/>
    <w:rsid w:val="000F4067"/>
    <w:rsid w:val="000F4CD2"/>
    <w:rsid w:val="00100BF9"/>
    <w:rsid w:val="00102BCB"/>
    <w:rsid w:val="00110BEB"/>
    <w:rsid w:val="00113066"/>
    <w:rsid w:val="00115EE2"/>
    <w:rsid w:val="001167E1"/>
    <w:rsid w:val="0012048D"/>
    <w:rsid w:val="00121729"/>
    <w:rsid w:val="00124025"/>
    <w:rsid w:val="00126CD1"/>
    <w:rsid w:val="001336E1"/>
    <w:rsid w:val="001341DE"/>
    <w:rsid w:val="0013738E"/>
    <w:rsid w:val="00137606"/>
    <w:rsid w:val="00142FD6"/>
    <w:rsid w:val="00143CC1"/>
    <w:rsid w:val="001454C5"/>
    <w:rsid w:val="00145637"/>
    <w:rsid w:val="0015177F"/>
    <w:rsid w:val="00152837"/>
    <w:rsid w:val="00154A37"/>
    <w:rsid w:val="00154B78"/>
    <w:rsid w:val="00156279"/>
    <w:rsid w:val="0016098C"/>
    <w:rsid w:val="00161871"/>
    <w:rsid w:val="00161FEC"/>
    <w:rsid w:val="00162E46"/>
    <w:rsid w:val="00163782"/>
    <w:rsid w:val="00163D0C"/>
    <w:rsid w:val="00167825"/>
    <w:rsid w:val="00167851"/>
    <w:rsid w:val="00167BAB"/>
    <w:rsid w:val="00170010"/>
    <w:rsid w:val="001703D8"/>
    <w:rsid w:val="001709C0"/>
    <w:rsid w:val="00171B0F"/>
    <w:rsid w:val="00172FBC"/>
    <w:rsid w:val="001802D3"/>
    <w:rsid w:val="00180389"/>
    <w:rsid w:val="0018128D"/>
    <w:rsid w:val="001834C7"/>
    <w:rsid w:val="00184243"/>
    <w:rsid w:val="00185984"/>
    <w:rsid w:val="00186389"/>
    <w:rsid w:val="00186F13"/>
    <w:rsid w:val="00194DD8"/>
    <w:rsid w:val="0019551E"/>
    <w:rsid w:val="00197C5E"/>
    <w:rsid w:val="001A18EF"/>
    <w:rsid w:val="001A2E91"/>
    <w:rsid w:val="001A332C"/>
    <w:rsid w:val="001A34E3"/>
    <w:rsid w:val="001A4089"/>
    <w:rsid w:val="001A4511"/>
    <w:rsid w:val="001A60A0"/>
    <w:rsid w:val="001B2085"/>
    <w:rsid w:val="001B2310"/>
    <w:rsid w:val="001B4B8D"/>
    <w:rsid w:val="001C145C"/>
    <w:rsid w:val="001C2886"/>
    <w:rsid w:val="001C480E"/>
    <w:rsid w:val="001C51E0"/>
    <w:rsid w:val="001C601D"/>
    <w:rsid w:val="001C75FD"/>
    <w:rsid w:val="001C7BCE"/>
    <w:rsid w:val="001D2880"/>
    <w:rsid w:val="001D45BE"/>
    <w:rsid w:val="001D493D"/>
    <w:rsid w:val="001D62A0"/>
    <w:rsid w:val="001E4C36"/>
    <w:rsid w:val="001F0CC1"/>
    <w:rsid w:val="001F1680"/>
    <w:rsid w:val="001F2578"/>
    <w:rsid w:val="001F3197"/>
    <w:rsid w:val="001F3A20"/>
    <w:rsid w:val="001F3E86"/>
    <w:rsid w:val="001F43CC"/>
    <w:rsid w:val="001F4901"/>
    <w:rsid w:val="001F52FB"/>
    <w:rsid w:val="001F5C6E"/>
    <w:rsid w:val="001F7C68"/>
    <w:rsid w:val="00200D63"/>
    <w:rsid w:val="002107D4"/>
    <w:rsid w:val="002132DE"/>
    <w:rsid w:val="002169F0"/>
    <w:rsid w:val="00216F2F"/>
    <w:rsid w:val="0022067E"/>
    <w:rsid w:val="0022153B"/>
    <w:rsid w:val="00224421"/>
    <w:rsid w:val="00225FD7"/>
    <w:rsid w:val="00226FBC"/>
    <w:rsid w:val="002273DE"/>
    <w:rsid w:val="00227522"/>
    <w:rsid w:val="00234835"/>
    <w:rsid w:val="00234FED"/>
    <w:rsid w:val="0023781F"/>
    <w:rsid w:val="00240A8F"/>
    <w:rsid w:val="00241EC3"/>
    <w:rsid w:val="00247958"/>
    <w:rsid w:val="00247D23"/>
    <w:rsid w:val="00252F9C"/>
    <w:rsid w:val="00253156"/>
    <w:rsid w:val="00254EFC"/>
    <w:rsid w:val="00255150"/>
    <w:rsid w:val="00255B70"/>
    <w:rsid w:val="002573E2"/>
    <w:rsid w:val="00257BA5"/>
    <w:rsid w:val="0026026C"/>
    <w:rsid w:val="00261D3F"/>
    <w:rsid w:val="00267A81"/>
    <w:rsid w:val="00267FC2"/>
    <w:rsid w:val="002731C8"/>
    <w:rsid w:val="0027518E"/>
    <w:rsid w:val="0027629F"/>
    <w:rsid w:val="002772D7"/>
    <w:rsid w:val="002802C7"/>
    <w:rsid w:val="002830FA"/>
    <w:rsid w:val="002832DE"/>
    <w:rsid w:val="00283692"/>
    <w:rsid w:val="00284547"/>
    <w:rsid w:val="002941EA"/>
    <w:rsid w:val="00294383"/>
    <w:rsid w:val="002A0B04"/>
    <w:rsid w:val="002A2841"/>
    <w:rsid w:val="002A4FAB"/>
    <w:rsid w:val="002A534E"/>
    <w:rsid w:val="002A5EEE"/>
    <w:rsid w:val="002A77F2"/>
    <w:rsid w:val="002B114E"/>
    <w:rsid w:val="002B1CA7"/>
    <w:rsid w:val="002B6D05"/>
    <w:rsid w:val="002C0844"/>
    <w:rsid w:val="002C3780"/>
    <w:rsid w:val="002C4C8A"/>
    <w:rsid w:val="002C4E51"/>
    <w:rsid w:val="002C74B6"/>
    <w:rsid w:val="002D4801"/>
    <w:rsid w:val="002D5D07"/>
    <w:rsid w:val="002D6CE7"/>
    <w:rsid w:val="002D7179"/>
    <w:rsid w:val="002E5710"/>
    <w:rsid w:val="002E7FC8"/>
    <w:rsid w:val="002F172F"/>
    <w:rsid w:val="002F1DB7"/>
    <w:rsid w:val="002F6D6C"/>
    <w:rsid w:val="003017AA"/>
    <w:rsid w:val="00301EDD"/>
    <w:rsid w:val="00303F14"/>
    <w:rsid w:val="00305318"/>
    <w:rsid w:val="00311D4A"/>
    <w:rsid w:val="00312219"/>
    <w:rsid w:val="00315FA9"/>
    <w:rsid w:val="00316ABD"/>
    <w:rsid w:val="003174FC"/>
    <w:rsid w:val="00320FFB"/>
    <w:rsid w:val="00323353"/>
    <w:rsid w:val="00323F5A"/>
    <w:rsid w:val="00324820"/>
    <w:rsid w:val="0032573F"/>
    <w:rsid w:val="003303E7"/>
    <w:rsid w:val="00333304"/>
    <w:rsid w:val="0033416A"/>
    <w:rsid w:val="00335DB4"/>
    <w:rsid w:val="00335FC8"/>
    <w:rsid w:val="00336462"/>
    <w:rsid w:val="00340E02"/>
    <w:rsid w:val="00341D99"/>
    <w:rsid w:val="0034284A"/>
    <w:rsid w:val="00342935"/>
    <w:rsid w:val="0034294C"/>
    <w:rsid w:val="00350B1F"/>
    <w:rsid w:val="003522F3"/>
    <w:rsid w:val="00352485"/>
    <w:rsid w:val="00353F26"/>
    <w:rsid w:val="003552E0"/>
    <w:rsid w:val="00355718"/>
    <w:rsid w:val="00360CD9"/>
    <w:rsid w:val="00360CEC"/>
    <w:rsid w:val="00362555"/>
    <w:rsid w:val="0036310A"/>
    <w:rsid w:val="0036651F"/>
    <w:rsid w:val="00370004"/>
    <w:rsid w:val="00370247"/>
    <w:rsid w:val="00370536"/>
    <w:rsid w:val="00371347"/>
    <w:rsid w:val="00371FF3"/>
    <w:rsid w:val="00377AA9"/>
    <w:rsid w:val="003803DF"/>
    <w:rsid w:val="0038048E"/>
    <w:rsid w:val="003804F0"/>
    <w:rsid w:val="00381816"/>
    <w:rsid w:val="003818CF"/>
    <w:rsid w:val="00383190"/>
    <w:rsid w:val="00383F30"/>
    <w:rsid w:val="003848AD"/>
    <w:rsid w:val="00385F3F"/>
    <w:rsid w:val="00387A57"/>
    <w:rsid w:val="00390845"/>
    <w:rsid w:val="0039334E"/>
    <w:rsid w:val="003937D9"/>
    <w:rsid w:val="0039448D"/>
    <w:rsid w:val="00395E52"/>
    <w:rsid w:val="00396B6A"/>
    <w:rsid w:val="003A0692"/>
    <w:rsid w:val="003A08CE"/>
    <w:rsid w:val="003A7DD0"/>
    <w:rsid w:val="003B0985"/>
    <w:rsid w:val="003B1462"/>
    <w:rsid w:val="003B5045"/>
    <w:rsid w:val="003B5AE5"/>
    <w:rsid w:val="003B6B71"/>
    <w:rsid w:val="003C4A57"/>
    <w:rsid w:val="003C5F5F"/>
    <w:rsid w:val="003C619D"/>
    <w:rsid w:val="003C66BD"/>
    <w:rsid w:val="003D3B54"/>
    <w:rsid w:val="003D500B"/>
    <w:rsid w:val="003E050F"/>
    <w:rsid w:val="003E07B3"/>
    <w:rsid w:val="003E5630"/>
    <w:rsid w:val="003E5C1C"/>
    <w:rsid w:val="003E5FB5"/>
    <w:rsid w:val="003E6FC1"/>
    <w:rsid w:val="003F7117"/>
    <w:rsid w:val="00400182"/>
    <w:rsid w:val="00401049"/>
    <w:rsid w:val="00401A1E"/>
    <w:rsid w:val="0040200C"/>
    <w:rsid w:val="00402BF9"/>
    <w:rsid w:val="004053D5"/>
    <w:rsid w:val="00412EEB"/>
    <w:rsid w:val="00413375"/>
    <w:rsid w:val="00413632"/>
    <w:rsid w:val="00414111"/>
    <w:rsid w:val="00414498"/>
    <w:rsid w:val="00417339"/>
    <w:rsid w:val="00420931"/>
    <w:rsid w:val="0042097E"/>
    <w:rsid w:val="00421A25"/>
    <w:rsid w:val="004223C1"/>
    <w:rsid w:val="00424BD7"/>
    <w:rsid w:val="00435A5D"/>
    <w:rsid w:val="004420B0"/>
    <w:rsid w:val="004441A4"/>
    <w:rsid w:val="00444377"/>
    <w:rsid w:val="004447BF"/>
    <w:rsid w:val="0044597B"/>
    <w:rsid w:val="00445A31"/>
    <w:rsid w:val="0045086C"/>
    <w:rsid w:val="0045107B"/>
    <w:rsid w:val="004520E3"/>
    <w:rsid w:val="004521DA"/>
    <w:rsid w:val="004538AF"/>
    <w:rsid w:val="00453938"/>
    <w:rsid w:val="00455BF2"/>
    <w:rsid w:val="00456332"/>
    <w:rsid w:val="004626D3"/>
    <w:rsid w:val="00470C4E"/>
    <w:rsid w:val="00471468"/>
    <w:rsid w:val="004715CF"/>
    <w:rsid w:val="00471A7B"/>
    <w:rsid w:val="0047217D"/>
    <w:rsid w:val="00475F9D"/>
    <w:rsid w:val="00476E2E"/>
    <w:rsid w:val="00477D35"/>
    <w:rsid w:val="00482DF6"/>
    <w:rsid w:val="0048471A"/>
    <w:rsid w:val="0048522D"/>
    <w:rsid w:val="00487190"/>
    <w:rsid w:val="0048792F"/>
    <w:rsid w:val="00492CF5"/>
    <w:rsid w:val="00492DD0"/>
    <w:rsid w:val="00494CEA"/>
    <w:rsid w:val="00496C12"/>
    <w:rsid w:val="00497415"/>
    <w:rsid w:val="004A1B54"/>
    <w:rsid w:val="004A459F"/>
    <w:rsid w:val="004A4BB4"/>
    <w:rsid w:val="004B15A8"/>
    <w:rsid w:val="004B27AB"/>
    <w:rsid w:val="004B45E0"/>
    <w:rsid w:val="004B738C"/>
    <w:rsid w:val="004B7FE7"/>
    <w:rsid w:val="004C0ACA"/>
    <w:rsid w:val="004C41A9"/>
    <w:rsid w:val="004C5A8C"/>
    <w:rsid w:val="004C6A76"/>
    <w:rsid w:val="004C6C95"/>
    <w:rsid w:val="004D09FC"/>
    <w:rsid w:val="004D203F"/>
    <w:rsid w:val="004D233E"/>
    <w:rsid w:val="004D32E4"/>
    <w:rsid w:val="004D3424"/>
    <w:rsid w:val="004D47D0"/>
    <w:rsid w:val="004D5FCB"/>
    <w:rsid w:val="004E2C25"/>
    <w:rsid w:val="004E5F7C"/>
    <w:rsid w:val="004E6E7E"/>
    <w:rsid w:val="004F1B33"/>
    <w:rsid w:val="004F3BB6"/>
    <w:rsid w:val="004F52DE"/>
    <w:rsid w:val="004F661C"/>
    <w:rsid w:val="004F7253"/>
    <w:rsid w:val="00510F78"/>
    <w:rsid w:val="00511B24"/>
    <w:rsid w:val="00515B63"/>
    <w:rsid w:val="005170CD"/>
    <w:rsid w:val="005210B1"/>
    <w:rsid w:val="0052360C"/>
    <w:rsid w:val="00524B34"/>
    <w:rsid w:val="00525B43"/>
    <w:rsid w:val="00527A16"/>
    <w:rsid w:val="00531F86"/>
    <w:rsid w:val="00532A61"/>
    <w:rsid w:val="00532B76"/>
    <w:rsid w:val="00533A4D"/>
    <w:rsid w:val="00535416"/>
    <w:rsid w:val="0054014D"/>
    <w:rsid w:val="005406B9"/>
    <w:rsid w:val="00541335"/>
    <w:rsid w:val="005415AA"/>
    <w:rsid w:val="00544F28"/>
    <w:rsid w:val="005450D0"/>
    <w:rsid w:val="00545F3F"/>
    <w:rsid w:val="00546958"/>
    <w:rsid w:val="00546E17"/>
    <w:rsid w:val="005509E0"/>
    <w:rsid w:val="005521FD"/>
    <w:rsid w:val="00552983"/>
    <w:rsid w:val="00552AEA"/>
    <w:rsid w:val="00552AEC"/>
    <w:rsid w:val="00556440"/>
    <w:rsid w:val="0056116F"/>
    <w:rsid w:val="00563BC5"/>
    <w:rsid w:val="00564333"/>
    <w:rsid w:val="0056506D"/>
    <w:rsid w:val="005664BF"/>
    <w:rsid w:val="00566CF7"/>
    <w:rsid w:val="005703AF"/>
    <w:rsid w:val="00570E7C"/>
    <w:rsid w:val="00571DFB"/>
    <w:rsid w:val="00573345"/>
    <w:rsid w:val="00574476"/>
    <w:rsid w:val="0057563E"/>
    <w:rsid w:val="00577ACC"/>
    <w:rsid w:val="00581D47"/>
    <w:rsid w:val="00581E46"/>
    <w:rsid w:val="005820BD"/>
    <w:rsid w:val="00584290"/>
    <w:rsid w:val="005846F0"/>
    <w:rsid w:val="00594B09"/>
    <w:rsid w:val="0059709A"/>
    <w:rsid w:val="005A2473"/>
    <w:rsid w:val="005A2DAF"/>
    <w:rsid w:val="005A3759"/>
    <w:rsid w:val="005B494E"/>
    <w:rsid w:val="005B69E4"/>
    <w:rsid w:val="005C063E"/>
    <w:rsid w:val="005C1D49"/>
    <w:rsid w:val="005C7103"/>
    <w:rsid w:val="005D1BAC"/>
    <w:rsid w:val="005D6787"/>
    <w:rsid w:val="005D6E67"/>
    <w:rsid w:val="005E1252"/>
    <w:rsid w:val="005E198D"/>
    <w:rsid w:val="005E40AF"/>
    <w:rsid w:val="005E5759"/>
    <w:rsid w:val="005E610E"/>
    <w:rsid w:val="005E6EA2"/>
    <w:rsid w:val="005E7696"/>
    <w:rsid w:val="005F169B"/>
    <w:rsid w:val="005F284E"/>
    <w:rsid w:val="005F2F90"/>
    <w:rsid w:val="005F40B3"/>
    <w:rsid w:val="006038C8"/>
    <w:rsid w:val="00610FF4"/>
    <w:rsid w:val="00612C34"/>
    <w:rsid w:val="00614DDA"/>
    <w:rsid w:val="0061563B"/>
    <w:rsid w:val="0061584B"/>
    <w:rsid w:val="00616B16"/>
    <w:rsid w:val="00616C1A"/>
    <w:rsid w:val="00621D6F"/>
    <w:rsid w:val="00621FEA"/>
    <w:rsid w:val="0062210B"/>
    <w:rsid w:val="00626D28"/>
    <w:rsid w:val="006331CA"/>
    <w:rsid w:val="0063496B"/>
    <w:rsid w:val="0064027C"/>
    <w:rsid w:val="006418B0"/>
    <w:rsid w:val="0064333D"/>
    <w:rsid w:val="00644586"/>
    <w:rsid w:val="00653003"/>
    <w:rsid w:val="00657FB8"/>
    <w:rsid w:val="006632A0"/>
    <w:rsid w:val="006648C0"/>
    <w:rsid w:val="00665742"/>
    <w:rsid w:val="00666747"/>
    <w:rsid w:val="00675F4A"/>
    <w:rsid w:val="006769EF"/>
    <w:rsid w:val="00676C33"/>
    <w:rsid w:val="0068228E"/>
    <w:rsid w:val="00683DB6"/>
    <w:rsid w:val="00684D01"/>
    <w:rsid w:val="006905A2"/>
    <w:rsid w:val="006907F9"/>
    <w:rsid w:val="006927C6"/>
    <w:rsid w:val="0069358C"/>
    <w:rsid w:val="006939C1"/>
    <w:rsid w:val="006946AD"/>
    <w:rsid w:val="006A0BD8"/>
    <w:rsid w:val="006A0E97"/>
    <w:rsid w:val="006A287F"/>
    <w:rsid w:val="006A3E06"/>
    <w:rsid w:val="006A5314"/>
    <w:rsid w:val="006A5D2A"/>
    <w:rsid w:val="006A6FE2"/>
    <w:rsid w:val="006A7631"/>
    <w:rsid w:val="006B299E"/>
    <w:rsid w:val="006B30FB"/>
    <w:rsid w:val="006B6341"/>
    <w:rsid w:val="006B7FC0"/>
    <w:rsid w:val="006C0558"/>
    <w:rsid w:val="006C08CB"/>
    <w:rsid w:val="006C5F9F"/>
    <w:rsid w:val="006C71BF"/>
    <w:rsid w:val="006D0721"/>
    <w:rsid w:val="006D5EB5"/>
    <w:rsid w:val="006D6395"/>
    <w:rsid w:val="006E08F0"/>
    <w:rsid w:val="006E1D53"/>
    <w:rsid w:val="006E7DC8"/>
    <w:rsid w:val="006F1543"/>
    <w:rsid w:val="006F415E"/>
    <w:rsid w:val="006F45CA"/>
    <w:rsid w:val="006F74AB"/>
    <w:rsid w:val="006F7851"/>
    <w:rsid w:val="0070004F"/>
    <w:rsid w:val="00700982"/>
    <w:rsid w:val="00701DBE"/>
    <w:rsid w:val="00701F25"/>
    <w:rsid w:val="0071017D"/>
    <w:rsid w:val="00712AA4"/>
    <w:rsid w:val="00714837"/>
    <w:rsid w:val="00714B24"/>
    <w:rsid w:val="00715038"/>
    <w:rsid w:val="00720D27"/>
    <w:rsid w:val="00720EBC"/>
    <w:rsid w:val="007231BE"/>
    <w:rsid w:val="007240F5"/>
    <w:rsid w:val="007259DD"/>
    <w:rsid w:val="00726716"/>
    <w:rsid w:val="00730B92"/>
    <w:rsid w:val="00730CC4"/>
    <w:rsid w:val="007312B7"/>
    <w:rsid w:val="007342C1"/>
    <w:rsid w:val="00736661"/>
    <w:rsid w:val="007368AF"/>
    <w:rsid w:val="0074021C"/>
    <w:rsid w:val="00741D27"/>
    <w:rsid w:val="00742183"/>
    <w:rsid w:val="00742B43"/>
    <w:rsid w:val="00742C3E"/>
    <w:rsid w:val="00745065"/>
    <w:rsid w:val="00746029"/>
    <w:rsid w:val="00750B7F"/>
    <w:rsid w:val="00750CBC"/>
    <w:rsid w:val="007517B3"/>
    <w:rsid w:val="007530D3"/>
    <w:rsid w:val="007532E7"/>
    <w:rsid w:val="00760D84"/>
    <w:rsid w:val="00763FC6"/>
    <w:rsid w:val="007647A3"/>
    <w:rsid w:val="007651E8"/>
    <w:rsid w:val="0076682F"/>
    <w:rsid w:val="00766D3E"/>
    <w:rsid w:val="0077073E"/>
    <w:rsid w:val="007731DA"/>
    <w:rsid w:val="0077373A"/>
    <w:rsid w:val="00774094"/>
    <w:rsid w:val="00775CDE"/>
    <w:rsid w:val="0077659A"/>
    <w:rsid w:val="007766DE"/>
    <w:rsid w:val="0077693E"/>
    <w:rsid w:val="00776B4F"/>
    <w:rsid w:val="00776E0B"/>
    <w:rsid w:val="00777CC8"/>
    <w:rsid w:val="00777DC9"/>
    <w:rsid w:val="0078255F"/>
    <w:rsid w:val="00785D58"/>
    <w:rsid w:val="00785DEF"/>
    <w:rsid w:val="00790759"/>
    <w:rsid w:val="007939C8"/>
    <w:rsid w:val="007953DE"/>
    <w:rsid w:val="007959A1"/>
    <w:rsid w:val="0079707E"/>
    <w:rsid w:val="00797859"/>
    <w:rsid w:val="0079786F"/>
    <w:rsid w:val="007A042C"/>
    <w:rsid w:val="007A07C8"/>
    <w:rsid w:val="007A0B05"/>
    <w:rsid w:val="007A1D17"/>
    <w:rsid w:val="007A2042"/>
    <w:rsid w:val="007A2BD6"/>
    <w:rsid w:val="007A30B8"/>
    <w:rsid w:val="007A3DED"/>
    <w:rsid w:val="007A4791"/>
    <w:rsid w:val="007A4837"/>
    <w:rsid w:val="007A58E1"/>
    <w:rsid w:val="007A7896"/>
    <w:rsid w:val="007B1E94"/>
    <w:rsid w:val="007B1FE2"/>
    <w:rsid w:val="007B2D00"/>
    <w:rsid w:val="007B3CE8"/>
    <w:rsid w:val="007B759A"/>
    <w:rsid w:val="007B77EF"/>
    <w:rsid w:val="007C17CF"/>
    <w:rsid w:val="007C3EDE"/>
    <w:rsid w:val="007C4D87"/>
    <w:rsid w:val="007C62F7"/>
    <w:rsid w:val="007C773C"/>
    <w:rsid w:val="007D0C18"/>
    <w:rsid w:val="007D184B"/>
    <w:rsid w:val="007D2795"/>
    <w:rsid w:val="007D4601"/>
    <w:rsid w:val="007D4781"/>
    <w:rsid w:val="007D500F"/>
    <w:rsid w:val="007D5187"/>
    <w:rsid w:val="007D6DC4"/>
    <w:rsid w:val="007D7529"/>
    <w:rsid w:val="007E0A3C"/>
    <w:rsid w:val="007E22AA"/>
    <w:rsid w:val="007E2660"/>
    <w:rsid w:val="007E2E16"/>
    <w:rsid w:val="007E4A2F"/>
    <w:rsid w:val="007E5CA0"/>
    <w:rsid w:val="007E6365"/>
    <w:rsid w:val="007E6A5C"/>
    <w:rsid w:val="007F0963"/>
    <w:rsid w:val="007F21F6"/>
    <w:rsid w:val="007F419D"/>
    <w:rsid w:val="007F5E04"/>
    <w:rsid w:val="007F7EC8"/>
    <w:rsid w:val="00801695"/>
    <w:rsid w:val="0080208D"/>
    <w:rsid w:val="00802272"/>
    <w:rsid w:val="00804BF7"/>
    <w:rsid w:val="00806A22"/>
    <w:rsid w:val="008102A9"/>
    <w:rsid w:val="0081676A"/>
    <w:rsid w:val="008169C2"/>
    <w:rsid w:val="00816D0B"/>
    <w:rsid w:val="00817617"/>
    <w:rsid w:val="00817F56"/>
    <w:rsid w:val="00824DCB"/>
    <w:rsid w:val="00825B2A"/>
    <w:rsid w:val="00826170"/>
    <w:rsid w:val="00826C68"/>
    <w:rsid w:val="00831D00"/>
    <w:rsid w:val="00832B09"/>
    <w:rsid w:val="00833C64"/>
    <w:rsid w:val="00834250"/>
    <w:rsid w:val="00836200"/>
    <w:rsid w:val="00836A37"/>
    <w:rsid w:val="00836C6D"/>
    <w:rsid w:val="008373EA"/>
    <w:rsid w:val="00841729"/>
    <w:rsid w:val="00841851"/>
    <w:rsid w:val="00843FE3"/>
    <w:rsid w:val="008458A1"/>
    <w:rsid w:val="00846FF1"/>
    <w:rsid w:val="00847550"/>
    <w:rsid w:val="00851DDC"/>
    <w:rsid w:val="00855799"/>
    <w:rsid w:val="008616B5"/>
    <w:rsid w:val="00861DBE"/>
    <w:rsid w:val="0086244F"/>
    <w:rsid w:val="008624F1"/>
    <w:rsid w:val="00862BFF"/>
    <w:rsid w:val="008657D5"/>
    <w:rsid w:val="00871D59"/>
    <w:rsid w:val="00872540"/>
    <w:rsid w:val="008741ED"/>
    <w:rsid w:val="00874974"/>
    <w:rsid w:val="00876322"/>
    <w:rsid w:val="008773C3"/>
    <w:rsid w:val="0088041C"/>
    <w:rsid w:val="008825FC"/>
    <w:rsid w:val="00882FEA"/>
    <w:rsid w:val="00884F74"/>
    <w:rsid w:val="00891434"/>
    <w:rsid w:val="00892341"/>
    <w:rsid w:val="008940CF"/>
    <w:rsid w:val="008A01B9"/>
    <w:rsid w:val="008A2A48"/>
    <w:rsid w:val="008A4D62"/>
    <w:rsid w:val="008A6122"/>
    <w:rsid w:val="008B049C"/>
    <w:rsid w:val="008B1A9A"/>
    <w:rsid w:val="008B37A5"/>
    <w:rsid w:val="008B3CD6"/>
    <w:rsid w:val="008C0223"/>
    <w:rsid w:val="008C138F"/>
    <w:rsid w:val="008C17AA"/>
    <w:rsid w:val="008C1B6E"/>
    <w:rsid w:val="008C4D96"/>
    <w:rsid w:val="008C684E"/>
    <w:rsid w:val="008C719A"/>
    <w:rsid w:val="008D365B"/>
    <w:rsid w:val="008D6807"/>
    <w:rsid w:val="008D6CB2"/>
    <w:rsid w:val="008D7AAB"/>
    <w:rsid w:val="008E59F3"/>
    <w:rsid w:val="008E5E99"/>
    <w:rsid w:val="008F14C0"/>
    <w:rsid w:val="008F21BE"/>
    <w:rsid w:val="008F2B3C"/>
    <w:rsid w:val="008F4BC7"/>
    <w:rsid w:val="008F66BB"/>
    <w:rsid w:val="008F6DB4"/>
    <w:rsid w:val="00900BDC"/>
    <w:rsid w:val="00902DF5"/>
    <w:rsid w:val="00902E4E"/>
    <w:rsid w:val="00904AF1"/>
    <w:rsid w:val="009102FF"/>
    <w:rsid w:val="0091640D"/>
    <w:rsid w:val="0091712B"/>
    <w:rsid w:val="00920123"/>
    <w:rsid w:val="009225AE"/>
    <w:rsid w:val="00923C5D"/>
    <w:rsid w:val="009248E8"/>
    <w:rsid w:val="00927B61"/>
    <w:rsid w:val="00933340"/>
    <w:rsid w:val="0093428D"/>
    <w:rsid w:val="00936B37"/>
    <w:rsid w:val="00941638"/>
    <w:rsid w:val="0094731B"/>
    <w:rsid w:val="0094766A"/>
    <w:rsid w:val="009557BA"/>
    <w:rsid w:val="00955C78"/>
    <w:rsid w:val="00955EBA"/>
    <w:rsid w:val="0096164B"/>
    <w:rsid w:val="00961CEA"/>
    <w:rsid w:val="009652C3"/>
    <w:rsid w:val="00966060"/>
    <w:rsid w:val="009669D8"/>
    <w:rsid w:val="00966F91"/>
    <w:rsid w:val="00977FB8"/>
    <w:rsid w:val="00983B19"/>
    <w:rsid w:val="00983D1A"/>
    <w:rsid w:val="00990D80"/>
    <w:rsid w:val="00992125"/>
    <w:rsid w:val="00993537"/>
    <w:rsid w:val="0099439A"/>
    <w:rsid w:val="00995459"/>
    <w:rsid w:val="00996B06"/>
    <w:rsid w:val="0099744F"/>
    <w:rsid w:val="009A1015"/>
    <w:rsid w:val="009A14D3"/>
    <w:rsid w:val="009A15F5"/>
    <w:rsid w:val="009A3735"/>
    <w:rsid w:val="009A3ABE"/>
    <w:rsid w:val="009A5309"/>
    <w:rsid w:val="009A78CC"/>
    <w:rsid w:val="009A7EA9"/>
    <w:rsid w:val="009B0A2E"/>
    <w:rsid w:val="009B17DD"/>
    <w:rsid w:val="009B181D"/>
    <w:rsid w:val="009B699E"/>
    <w:rsid w:val="009C0B97"/>
    <w:rsid w:val="009C316F"/>
    <w:rsid w:val="009C7B62"/>
    <w:rsid w:val="009D1049"/>
    <w:rsid w:val="009D1924"/>
    <w:rsid w:val="009D2353"/>
    <w:rsid w:val="009D23FF"/>
    <w:rsid w:val="009D68D3"/>
    <w:rsid w:val="009D7991"/>
    <w:rsid w:val="009E1785"/>
    <w:rsid w:val="009E1AC6"/>
    <w:rsid w:val="009E2DA7"/>
    <w:rsid w:val="009E6CDC"/>
    <w:rsid w:val="009E7D20"/>
    <w:rsid w:val="009F2ADF"/>
    <w:rsid w:val="009F4527"/>
    <w:rsid w:val="009F6B5C"/>
    <w:rsid w:val="009F7128"/>
    <w:rsid w:val="00A0114A"/>
    <w:rsid w:val="00A01150"/>
    <w:rsid w:val="00A075BD"/>
    <w:rsid w:val="00A10265"/>
    <w:rsid w:val="00A102DC"/>
    <w:rsid w:val="00A1071F"/>
    <w:rsid w:val="00A10BB8"/>
    <w:rsid w:val="00A11D67"/>
    <w:rsid w:val="00A14B75"/>
    <w:rsid w:val="00A24CED"/>
    <w:rsid w:val="00A260DE"/>
    <w:rsid w:val="00A31270"/>
    <w:rsid w:val="00A3300B"/>
    <w:rsid w:val="00A4173D"/>
    <w:rsid w:val="00A44BFE"/>
    <w:rsid w:val="00A47B82"/>
    <w:rsid w:val="00A47F47"/>
    <w:rsid w:val="00A53ED5"/>
    <w:rsid w:val="00A55426"/>
    <w:rsid w:val="00A64473"/>
    <w:rsid w:val="00A64B75"/>
    <w:rsid w:val="00A6606D"/>
    <w:rsid w:val="00A675DE"/>
    <w:rsid w:val="00A777A8"/>
    <w:rsid w:val="00A83A6C"/>
    <w:rsid w:val="00A84279"/>
    <w:rsid w:val="00A848A1"/>
    <w:rsid w:val="00A8661A"/>
    <w:rsid w:val="00A8663F"/>
    <w:rsid w:val="00A86CBF"/>
    <w:rsid w:val="00A87513"/>
    <w:rsid w:val="00A91ED8"/>
    <w:rsid w:val="00A94E4B"/>
    <w:rsid w:val="00AA0BF2"/>
    <w:rsid w:val="00AA0C40"/>
    <w:rsid w:val="00AA2055"/>
    <w:rsid w:val="00AA365A"/>
    <w:rsid w:val="00AA65C0"/>
    <w:rsid w:val="00AB199A"/>
    <w:rsid w:val="00AB1E86"/>
    <w:rsid w:val="00AB2739"/>
    <w:rsid w:val="00AB283D"/>
    <w:rsid w:val="00AB75D8"/>
    <w:rsid w:val="00AC2352"/>
    <w:rsid w:val="00AC2E28"/>
    <w:rsid w:val="00AC3BC7"/>
    <w:rsid w:val="00AC421B"/>
    <w:rsid w:val="00AC6537"/>
    <w:rsid w:val="00AC7718"/>
    <w:rsid w:val="00AD1EA5"/>
    <w:rsid w:val="00AD2326"/>
    <w:rsid w:val="00AD3460"/>
    <w:rsid w:val="00AD536B"/>
    <w:rsid w:val="00AD5CC8"/>
    <w:rsid w:val="00AD60B6"/>
    <w:rsid w:val="00AD71C6"/>
    <w:rsid w:val="00AD7DAC"/>
    <w:rsid w:val="00AD7EC6"/>
    <w:rsid w:val="00AD7F39"/>
    <w:rsid w:val="00AE00F9"/>
    <w:rsid w:val="00AE0942"/>
    <w:rsid w:val="00AE0D00"/>
    <w:rsid w:val="00AE1D93"/>
    <w:rsid w:val="00AE26A0"/>
    <w:rsid w:val="00AE7969"/>
    <w:rsid w:val="00AF1C59"/>
    <w:rsid w:val="00AF1D74"/>
    <w:rsid w:val="00AF220A"/>
    <w:rsid w:val="00AF2437"/>
    <w:rsid w:val="00AF7E11"/>
    <w:rsid w:val="00B00557"/>
    <w:rsid w:val="00B00709"/>
    <w:rsid w:val="00B058E2"/>
    <w:rsid w:val="00B06D4D"/>
    <w:rsid w:val="00B13245"/>
    <w:rsid w:val="00B13F92"/>
    <w:rsid w:val="00B15B6D"/>
    <w:rsid w:val="00B1639F"/>
    <w:rsid w:val="00B16A6A"/>
    <w:rsid w:val="00B16B13"/>
    <w:rsid w:val="00B2403F"/>
    <w:rsid w:val="00B251D3"/>
    <w:rsid w:val="00B257CB"/>
    <w:rsid w:val="00B269D5"/>
    <w:rsid w:val="00B31934"/>
    <w:rsid w:val="00B31C93"/>
    <w:rsid w:val="00B340C8"/>
    <w:rsid w:val="00B37A35"/>
    <w:rsid w:val="00B40D9A"/>
    <w:rsid w:val="00B42F78"/>
    <w:rsid w:val="00B46CE0"/>
    <w:rsid w:val="00B47322"/>
    <w:rsid w:val="00B477DB"/>
    <w:rsid w:val="00B506DE"/>
    <w:rsid w:val="00B52202"/>
    <w:rsid w:val="00B528CE"/>
    <w:rsid w:val="00B55A91"/>
    <w:rsid w:val="00B55B38"/>
    <w:rsid w:val="00B6018B"/>
    <w:rsid w:val="00B603E1"/>
    <w:rsid w:val="00B639FA"/>
    <w:rsid w:val="00B65222"/>
    <w:rsid w:val="00B652BD"/>
    <w:rsid w:val="00B67816"/>
    <w:rsid w:val="00B67FC5"/>
    <w:rsid w:val="00B702AD"/>
    <w:rsid w:val="00B74373"/>
    <w:rsid w:val="00B74658"/>
    <w:rsid w:val="00B77763"/>
    <w:rsid w:val="00B77CC4"/>
    <w:rsid w:val="00B80494"/>
    <w:rsid w:val="00B814C5"/>
    <w:rsid w:val="00B81CA2"/>
    <w:rsid w:val="00B85AC2"/>
    <w:rsid w:val="00B85DA1"/>
    <w:rsid w:val="00B86D8A"/>
    <w:rsid w:val="00B9012B"/>
    <w:rsid w:val="00B91B35"/>
    <w:rsid w:val="00B955D1"/>
    <w:rsid w:val="00B9560B"/>
    <w:rsid w:val="00BA017E"/>
    <w:rsid w:val="00BA15E6"/>
    <w:rsid w:val="00BA441D"/>
    <w:rsid w:val="00BA6A7C"/>
    <w:rsid w:val="00BB1F96"/>
    <w:rsid w:val="00BB5067"/>
    <w:rsid w:val="00BC0309"/>
    <w:rsid w:val="00BC4363"/>
    <w:rsid w:val="00BC5582"/>
    <w:rsid w:val="00BC67A1"/>
    <w:rsid w:val="00BC75C5"/>
    <w:rsid w:val="00BD2B9C"/>
    <w:rsid w:val="00BD5956"/>
    <w:rsid w:val="00BE0966"/>
    <w:rsid w:val="00BE7815"/>
    <w:rsid w:val="00BF1E76"/>
    <w:rsid w:val="00BF27B6"/>
    <w:rsid w:val="00BF287C"/>
    <w:rsid w:val="00BF36E2"/>
    <w:rsid w:val="00BF3E06"/>
    <w:rsid w:val="00BF5694"/>
    <w:rsid w:val="00BF7326"/>
    <w:rsid w:val="00BF7FCD"/>
    <w:rsid w:val="00C011A3"/>
    <w:rsid w:val="00C0403A"/>
    <w:rsid w:val="00C07B61"/>
    <w:rsid w:val="00C102F9"/>
    <w:rsid w:val="00C147BD"/>
    <w:rsid w:val="00C17448"/>
    <w:rsid w:val="00C2008C"/>
    <w:rsid w:val="00C205A6"/>
    <w:rsid w:val="00C2198B"/>
    <w:rsid w:val="00C21BE6"/>
    <w:rsid w:val="00C264BA"/>
    <w:rsid w:val="00C272A0"/>
    <w:rsid w:val="00C27A0F"/>
    <w:rsid w:val="00C315F3"/>
    <w:rsid w:val="00C4023E"/>
    <w:rsid w:val="00C403CE"/>
    <w:rsid w:val="00C41982"/>
    <w:rsid w:val="00C42912"/>
    <w:rsid w:val="00C42CDD"/>
    <w:rsid w:val="00C44733"/>
    <w:rsid w:val="00C448E0"/>
    <w:rsid w:val="00C4643A"/>
    <w:rsid w:val="00C46DFE"/>
    <w:rsid w:val="00C5232F"/>
    <w:rsid w:val="00C52A93"/>
    <w:rsid w:val="00C52C9F"/>
    <w:rsid w:val="00C5587A"/>
    <w:rsid w:val="00C55A4A"/>
    <w:rsid w:val="00C60336"/>
    <w:rsid w:val="00C605C2"/>
    <w:rsid w:val="00C74617"/>
    <w:rsid w:val="00C75F1C"/>
    <w:rsid w:val="00C81109"/>
    <w:rsid w:val="00C81116"/>
    <w:rsid w:val="00C82370"/>
    <w:rsid w:val="00C830E8"/>
    <w:rsid w:val="00C85CD0"/>
    <w:rsid w:val="00C90255"/>
    <w:rsid w:val="00C92451"/>
    <w:rsid w:val="00C93D7B"/>
    <w:rsid w:val="00C9480F"/>
    <w:rsid w:val="00C96E0B"/>
    <w:rsid w:val="00CA0233"/>
    <w:rsid w:val="00CA3427"/>
    <w:rsid w:val="00CA51C1"/>
    <w:rsid w:val="00CA62BF"/>
    <w:rsid w:val="00CB054A"/>
    <w:rsid w:val="00CB26B2"/>
    <w:rsid w:val="00CB43AD"/>
    <w:rsid w:val="00CB62D0"/>
    <w:rsid w:val="00CB6FDF"/>
    <w:rsid w:val="00CC00C7"/>
    <w:rsid w:val="00CC63B2"/>
    <w:rsid w:val="00CC6740"/>
    <w:rsid w:val="00CC6D44"/>
    <w:rsid w:val="00CD1187"/>
    <w:rsid w:val="00CD2F44"/>
    <w:rsid w:val="00CD4840"/>
    <w:rsid w:val="00CE1132"/>
    <w:rsid w:val="00CE147C"/>
    <w:rsid w:val="00CF3080"/>
    <w:rsid w:val="00CF4737"/>
    <w:rsid w:val="00D04A5E"/>
    <w:rsid w:val="00D1065B"/>
    <w:rsid w:val="00D10CE2"/>
    <w:rsid w:val="00D13B7E"/>
    <w:rsid w:val="00D140BF"/>
    <w:rsid w:val="00D14CE7"/>
    <w:rsid w:val="00D16770"/>
    <w:rsid w:val="00D170FA"/>
    <w:rsid w:val="00D20040"/>
    <w:rsid w:val="00D20617"/>
    <w:rsid w:val="00D239CC"/>
    <w:rsid w:val="00D23D8D"/>
    <w:rsid w:val="00D24240"/>
    <w:rsid w:val="00D24ECE"/>
    <w:rsid w:val="00D259BB"/>
    <w:rsid w:val="00D27020"/>
    <w:rsid w:val="00D27255"/>
    <w:rsid w:val="00D2754E"/>
    <w:rsid w:val="00D32B6C"/>
    <w:rsid w:val="00D36104"/>
    <w:rsid w:val="00D40EF7"/>
    <w:rsid w:val="00D47BC1"/>
    <w:rsid w:val="00D51316"/>
    <w:rsid w:val="00D538A9"/>
    <w:rsid w:val="00D53B97"/>
    <w:rsid w:val="00D5579D"/>
    <w:rsid w:val="00D570E9"/>
    <w:rsid w:val="00D57449"/>
    <w:rsid w:val="00D62AD5"/>
    <w:rsid w:val="00D666EA"/>
    <w:rsid w:val="00D66B56"/>
    <w:rsid w:val="00D70D96"/>
    <w:rsid w:val="00D717F1"/>
    <w:rsid w:val="00D729B8"/>
    <w:rsid w:val="00D758D6"/>
    <w:rsid w:val="00D77067"/>
    <w:rsid w:val="00D80EA8"/>
    <w:rsid w:val="00D81F4A"/>
    <w:rsid w:val="00D8612E"/>
    <w:rsid w:val="00D876C4"/>
    <w:rsid w:val="00D921EA"/>
    <w:rsid w:val="00D93A75"/>
    <w:rsid w:val="00D93E00"/>
    <w:rsid w:val="00D93F82"/>
    <w:rsid w:val="00D96C10"/>
    <w:rsid w:val="00DA2C0F"/>
    <w:rsid w:val="00DA3E35"/>
    <w:rsid w:val="00DA735D"/>
    <w:rsid w:val="00DB0BC8"/>
    <w:rsid w:val="00DB2687"/>
    <w:rsid w:val="00DB4AC0"/>
    <w:rsid w:val="00DB5ABC"/>
    <w:rsid w:val="00DB6567"/>
    <w:rsid w:val="00DB6877"/>
    <w:rsid w:val="00DB74AC"/>
    <w:rsid w:val="00DB7F2D"/>
    <w:rsid w:val="00DC0FA9"/>
    <w:rsid w:val="00DC232B"/>
    <w:rsid w:val="00DC3679"/>
    <w:rsid w:val="00DC76B8"/>
    <w:rsid w:val="00DC7792"/>
    <w:rsid w:val="00DD3862"/>
    <w:rsid w:val="00DD4C63"/>
    <w:rsid w:val="00DD4EE5"/>
    <w:rsid w:val="00DD69B0"/>
    <w:rsid w:val="00DD6B62"/>
    <w:rsid w:val="00DD7008"/>
    <w:rsid w:val="00DD71D3"/>
    <w:rsid w:val="00DE0901"/>
    <w:rsid w:val="00DE0C06"/>
    <w:rsid w:val="00DE1123"/>
    <w:rsid w:val="00DE14D6"/>
    <w:rsid w:val="00DE6EBE"/>
    <w:rsid w:val="00DE74F1"/>
    <w:rsid w:val="00DF06E0"/>
    <w:rsid w:val="00DF329F"/>
    <w:rsid w:val="00DF5DEC"/>
    <w:rsid w:val="00DF64BD"/>
    <w:rsid w:val="00DF75D1"/>
    <w:rsid w:val="00E038C3"/>
    <w:rsid w:val="00E106CD"/>
    <w:rsid w:val="00E14BE4"/>
    <w:rsid w:val="00E2026A"/>
    <w:rsid w:val="00E202A9"/>
    <w:rsid w:val="00E203C0"/>
    <w:rsid w:val="00E23738"/>
    <w:rsid w:val="00E237A1"/>
    <w:rsid w:val="00E25838"/>
    <w:rsid w:val="00E260A5"/>
    <w:rsid w:val="00E266A0"/>
    <w:rsid w:val="00E26951"/>
    <w:rsid w:val="00E26FCA"/>
    <w:rsid w:val="00E27460"/>
    <w:rsid w:val="00E2746F"/>
    <w:rsid w:val="00E3096D"/>
    <w:rsid w:val="00E34881"/>
    <w:rsid w:val="00E36B9D"/>
    <w:rsid w:val="00E442B7"/>
    <w:rsid w:val="00E44998"/>
    <w:rsid w:val="00E44EC9"/>
    <w:rsid w:val="00E47168"/>
    <w:rsid w:val="00E47361"/>
    <w:rsid w:val="00E56713"/>
    <w:rsid w:val="00E56A46"/>
    <w:rsid w:val="00E6297D"/>
    <w:rsid w:val="00E67C76"/>
    <w:rsid w:val="00E7103E"/>
    <w:rsid w:val="00E721BC"/>
    <w:rsid w:val="00E74013"/>
    <w:rsid w:val="00E7696C"/>
    <w:rsid w:val="00E818AA"/>
    <w:rsid w:val="00E82CD7"/>
    <w:rsid w:val="00E82DA1"/>
    <w:rsid w:val="00E82DD5"/>
    <w:rsid w:val="00E8612F"/>
    <w:rsid w:val="00E94CEF"/>
    <w:rsid w:val="00E96742"/>
    <w:rsid w:val="00EA2A91"/>
    <w:rsid w:val="00EA5010"/>
    <w:rsid w:val="00EA681A"/>
    <w:rsid w:val="00EA7955"/>
    <w:rsid w:val="00EB1E3B"/>
    <w:rsid w:val="00EB1F18"/>
    <w:rsid w:val="00EB2075"/>
    <w:rsid w:val="00EB21F0"/>
    <w:rsid w:val="00EB373F"/>
    <w:rsid w:val="00EB4131"/>
    <w:rsid w:val="00EB6951"/>
    <w:rsid w:val="00EC022E"/>
    <w:rsid w:val="00EC0305"/>
    <w:rsid w:val="00EC359E"/>
    <w:rsid w:val="00EC45D1"/>
    <w:rsid w:val="00EC70BF"/>
    <w:rsid w:val="00EC7A9E"/>
    <w:rsid w:val="00ED37EB"/>
    <w:rsid w:val="00ED4548"/>
    <w:rsid w:val="00ED5337"/>
    <w:rsid w:val="00ED6C68"/>
    <w:rsid w:val="00EE012C"/>
    <w:rsid w:val="00EE75A2"/>
    <w:rsid w:val="00EF1E4E"/>
    <w:rsid w:val="00EF1ECC"/>
    <w:rsid w:val="00EF4C0A"/>
    <w:rsid w:val="00EF6214"/>
    <w:rsid w:val="00EF6A55"/>
    <w:rsid w:val="00EF7038"/>
    <w:rsid w:val="00F00A52"/>
    <w:rsid w:val="00F01AE1"/>
    <w:rsid w:val="00F04670"/>
    <w:rsid w:val="00F0507E"/>
    <w:rsid w:val="00F212BB"/>
    <w:rsid w:val="00F21EA6"/>
    <w:rsid w:val="00F3048D"/>
    <w:rsid w:val="00F30742"/>
    <w:rsid w:val="00F32587"/>
    <w:rsid w:val="00F33072"/>
    <w:rsid w:val="00F33136"/>
    <w:rsid w:val="00F357B6"/>
    <w:rsid w:val="00F42086"/>
    <w:rsid w:val="00F42395"/>
    <w:rsid w:val="00F45D58"/>
    <w:rsid w:val="00F463D0"/>
    <w:rsid w:val="00F4683D"/>
    <w:rsid w:val="00F471F4"/>
    <w:rsid w:val="00F51614"/>
    <w:rsid w:val="00F51B8D"/>
    <w:rsid w:val="00F52425"/>
    <w:rsid w:val="00F53761"/>
    <w:rsid w:val="00F53E74"/>
    <w:rsid w:val="00F541B0"/>
    <w:rsid w:val="00F54D53"/>
    <w:rsid w:val="00F55211"/>
    <w:rsid w:val="00F60215"/>
    <w:rsid w:val="00F60F42"/>
    <w:rsid w:val="00F6434A"/>
    <w:rsid w:val="00F64427"/>
    <w:rsid w:val="00F64996"/>
    <w:rsid w:val="00F664AA"/>
    <w:rsid w:val="00F6652D"/>
    <w:rsid w:val="00F72EDC"/>
    <w:rsid w:val="00F75877"/>
    <w:rsid w:val="00F75E10"/>
    <w:rsid w:val="00F85E87"/>
    <w:rsid w:val="00F866B6"/>
    <w:rsid w:val="00F86D53"/>
    <w:rsid w:val="00F91953"/>
    <w:rsid w:val="00F91DC4"/>
    <w:rsid w:val="00F9587C"/>
    <w:rsid w:val="00F958B5"/>
    <w:rsid w:val="00FA0F3B"/>
    <w:rsid w:val="00FA5108"/>
    <w:rsid w:val="00FA58BE"/>
    <w:rsid w:val="00FA60D7"/>
    <w:rsid w:val="00FA6809"/>
    <w:rsid w:val="00FB1EC5"/>
    <w:rsid w:val="00FB22AE"/>
    <w:rsid w:val="00FB240A"/>
    <w:rsid w:val="00FB3E04"/>
    <w:rsid w:val="00FB4D77"/>
    <w:rsid w:val="00FB5D3B"/>
    <w:rsid w:val="00FB738F"/>
    <w:rsid w:val="00FC3D7B"/>
    <w:rsid w:val="00FC47BA"/>
    <w:rsid w:val="00FC5114"/>
    <w:rsid w:val="00FC7F9E"/>
    <w:rsid w:val="00FD3063"/>
    <w:rsid w:val="00FE0D19"/>
    <w:rsid w:val="00FE2FF3"/>
    <w:rsid w:val="00FE3008"/>
    <w:rsid w:val="00FE3FBF"/>
    <w:rsid w:val="00FF01B0"/>
    <w:rsid w:val="00FF097F"/>
    <w:rsid w:val="00FF2D26"/>
    <w:rsid w:val="028F467F"/>
    <w:rsid w:val="035CBFA3"/>
    <w:rsid w:val="03CE6245"/>
    <w:rsid w:val="07FC7EEF"/>
    <w:rsid w:val="08601BBA"/>
    <w:rsid w:val="0E7C02EC"/>
    <w:rsid w:val="0F8A27C4"/>
    <w:rsid w:val="104793DB"/>
    <w:rsid w:val="110404B6"/>
    <w:rsid w:val="13EB5EF5"/>
    <w:rsid w:val="14D20DA1"/>
    <w:rsid w:val="150DF327"/>
    <w:rsid w:val="165FB2D6"/>
    <w:rsid w:val="18BC4510"/>
    <w:rsid w:val="2989E123"/>
    <w:rsid w:val="2A3AEC91"/>
    <w:rsid w:val="332665D8"/>
    <w:rsid w:val="364205ED"/>
    <w:rsid w:val="3732D71E"/>
    <w:rsid w:val="39AC9C5E"/>
    <w:rsid w:val="3D7592F5"/>
    <w:rsid w:val="4728E1C3"/>
    <w:rsid w:val="4A95C082"/>
    <w:rsid w:val="4D40F77D"/>
    <w:rsid w:val="4D4C88C2"/>
    <w:rsid w:val="4EE63FC6"/>
    <w:rsid w:val="536F4FEC"/>
    <w:rsid w:val="53B5334B"/>
    <w:rsid w:val="54831A20"/>
    <w:rsid w:val="5829013A"/>
    <w:rsid w:val="5B17794E"/>
    <w:rsid w:val="61473026"/>
    <w:rsid w:val="63880139"/>
    <w:rsid w:val="65431E17"/>
    <w:rsid w:val="65B53605"/>
    <w:rsid w:val="6605A199"/>
    <w:rsid w:val="66460879"/>
    <w:rsid w:val="683D0F78"/>
    <w:rsid w:val="69496142"/>
    <w:rsid w:val="696F98B1"/>
    <w:rsid w:val="6A2076BD"/>
    <w:rsid w:val="6B9ED5B4"/>
    <w:rsid w:val="6C2B110B"/>
    <w:rsid w:val="6F701C24"/>
    <w:rsid w:val="7BAC57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4EA5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16"/>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aliases w:val="3,POCG Table Text,Regular,Alpha List Paragraph,Figure_name,List Paragraph1,Bullet- First level,numbered,FooterText,Style 2,Numbered Indented Text,List Paragraph11,Bullet List,List Paragraph 1"/>
    <w:basedOn w:val="Normal"/>
    <w:link w:val="ListParagraphChar"/>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aliases w:val="3 Char,POCG Table Text Char,Regular Char,Alpha List Paragraph Char,Figure_name Char,List Paragraph1 Char,Bullet- First level Char,numbered Char,FooterText Char,Style 2 Char,Numbered Indented Text Char,List Paragraph11 Char"/>
    <w:link w:val="ListParagraph"/>
    <w:uiPriority w:val="34"/>
    <w:rsid w:val="008C17AA"/>
    <w:rPr>
      <w:rFonts w:ascii="Calibri" w:eastAsia="Calibri" w:hAnsi="Calibri" w:cs="Times New Roman"/>
    </w:rPr>
  </w:style>
  <w:style w:type="paragraph" w:styleId="NoSpacing">
    <w:name w:val="No Spacing"/>
    <w:link w:val="NoSpacingChar"/>
    <w:uiPriority w:val="1"/>
    <w:qFormat/>
    <w:rsid w:val="0079707E"/>
    <w:pPr>
      <w:spacing w:after="0" w:line="240" w:lineRule="auto"/>
    </w:pPr>
    <w:rPr>
      <w:rFonts w:ascii="Arial" w:eastAsia="Times New Roman" w:hAnsi="Arial" w:cs="Times New Roman"/>
      <w:color w:val="FFFFFF" w:themeColor="background1"/>
      <w:sz w:val="20"/>
    </w:rPr>
  </w:style>
  <w:style w:type="character" w:styleId="Mention">
    <w:name w:val="Mention"/>
    <w:basedOn w:val="DefaultParagraphFont"/>
    <w:uiPriority w:val="99"/>
    <w:unhideWhenUsed/>
    <w:rsid w:val="0079707E"/>
    <w:rPr>
      <w:color w:val="2B579A"/>
      <w:shd w:val="clear" w:color="auto" w:fill="E1DFDD"/>
    </w:rPr>
  </w:style>
  <w:style w:type="character" w:customStyle="1" w:styleId="NoSpacingChar">
    <w:name w:val="No Spacing Char"/>
    <w:link w:val="NoSpacing"/>
    <w:uiPriority w:val="1"/>
    <w:locked/>
    <w:rsid w:val="0079707E"/>
    <w:rPr>
      <w:rFonts w:ascii="Arial" w:eastAsia="Times New Roman" w:hAnsi="Arial" w:cs="Times New Roman"/>
      <w:color w:val="FFFFFF" w:themeColor="background1"/>
      <w:sz w:val="20"/>
    </w:rPr>
  </w:style>
  <w:style w:type="character" w:customStyle="1" w:styleId="normaltextrun">
    <w:name w:val="normaltextrun"/>
    <w:basedOn w:val="DefaultParagraphFont"/>
    <w:rsid w:val="0003316D"/>
  </w:style>
  <w:style w:type="paragraph" w:customStyle="1" w:styleId="BioMainText">
    <w:name w:val="Bio Main Text"/>
    <w:basedOn w:val="NoSpacing"/>
    <w:link w:val="BioMainTextChar"/>
    <w:qFormat/>
    <w:rsid w:val="0003316D"/>
    <w:pPr>
      <w:jc w:val="both"/>
    </w:pPr>
    <w:rPr>
      <w:rFonts w:eastAsia="Calibri" w:cs="Arial"/>
      <w:color w:val="auto"/>
      <w:szCs w:val="20"/>
    </w:rPr>
  </w:style>
  <w:style w:type="character" w:customStyle="1" w:styleId="BioMainTextChar">
    <w:name w:val="Bio Main Text Char"/>
    <w:link w:val="BioMainText"/>
    <w:rsid w:val="0003316D"/>
    <w:rPr>
      <w:rFonts w:ascii="Arial" w:eastAsia="Calibri" w:hAnsi="Arial" w:cs="Arial"/>
      <w:sz w:val="20"/>
      <w:szCs w:val="20"/>
    </w:rPr>
  </w:style>
  <w:style w:type="paragraph" w:customStyle="1" w:styleId="NormalProposalText">
    <w:name w:val="Normal Proposal Text"/>
    <w:basedOn w:val="Normal"/>
    <w:link w:val="NormalProposalTextChar"/>
    <w:qFormat/>
    <w:rsid w:val="00D717F1"/>
    <w:pPr>
      <w:autoSpaceDE w:val="0"/>
      <w:autoSpaceDN w:val="0"/>
      <w:adjustRightInd w:val="0"/>
      <w:spacing w:after="0" w:line="240" w:lineRule="auto"/>
      <w:jc w:val="both"/>
    </w:pPr>
    <w:rPr>
      <w:rFonts w:ascii="Arial" w:eastAsia="Calibri" w:hAnsi="Arial" w:cs="Arial"/>
      <w:color w:val="000000"/>
      <w:sz w:val="20"/>
      <w:szCs w:val="20"/>
    </w:rPr>
  </w:style>
  <w:style w:type="character" w:customStyle="1" w:styleId="NormalProposalTextChar">
    <w:name w:val="Normal Proposal Text Char"/>
    <w:link w:val="NormalProposalText"/>
    <w:rsid w:val="00D717F1"/>
    <w:rPr>
      <w:rFonts w:ascii="Arial" w:eastAsia="Calibri"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32956997">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70683619">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04367543">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9A03BD973AD044981EB8C87FE673661" ma:contentTypeVersion="6" ma:contentTypeDescription="Create a new document." ma:contentTypeScope="" ma:versionID="cfb1adbbbd01e397d39ca6cc9d0407fd">
  <xsd:schema xmlns:xsd="http://www.w3.org/2001/XMLSchema" xmlns:xs="http://www.w3.org/2001/XMLSchema" xmlns:p="http://schemas.microsoft.com/office/2006/metadata/properties" xmlns:ns2="caf1ffad-baa5-47a7-832e-7508638fe08a" xmlns:ns3="a4247e86-949e-4dd6-83f2-364ff252ace2" targetNamespace="http://schemas.microsoft.com/office/2006/metadata/properties" ma:root="true" ma:fieldsID="1fa3cd4058384ed3aa94e59b4625213c" ns2:_="" ns3:_="">
    <xsd:import namespace="caf1ffad-baa5-47a7-832e-7508638fe08a"/>
    <xsd:import namespace="a4247e86-949e-4dd6-83f2-364ff252ac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ffad-baa5-47a7-832e-7508638fe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247e86-949e-4dd6-83f2-364ff252ac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37EB90-CE8A-4FAE-98CD-21531DD1E115}">
  <ds:schemaRefs>
    <ds:schemaRef ds:uri="http://schemas.microsoft.com/sharepoint/v3/contenttype/forms"/>
  </ds:schemaRefs>
</ds:datastoreItem>
</file>

<file path=customXml/itemProps2.xml><?xml version="1.0" encoding="utf-8"?>
<ds:datastoreItem xmlns:ds="http://schemas.openxmlformats.org/officeDocument/2006/customXml" ds:itemID="{9B4FC614-6A3E-4F1B-B804-F5BC60778391}">
  <ds:schemaRefs>
    <ds:schemaRef ds:uri="http://schemas.openxmlformats.org/officeDocument/2006/bibliography"/>
  </ds:schemaRefs>
</ds:datastoreItem>
</file>

<file path=customXml/itemProps3.xml><?xml version="1.0" encoding="utf-8"?>
<ds:datastoreItem xmlns:ds="http://schemas.openxmlformats.org/officeDocument/2006/customXml" ds:itemID="{73ABC916-C073-47B0-B9EC-6E449DEAD2F6}">
  <ds:schemaRefs>
    <ds:schemaRef ds:uri="http://purl.org/dc/elements/1.1/"/>
    <ds:schemaRef ds:uri="http://schemas.microsoft.com/office/2006/metadata/properties"/>
    <ds:schemaRef ds:uri="caf1ffad-baa5-47a7-832e-7508638fe08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4247e86-949e-4dd6-83f2-364ff252ace2"/>
    <ds:schemaRef ds:uri="http://www.w3.org/XML/1998/namespace"/>
    <ds:schemaRef ds:uri="http://purl.org/dc/dcmitype/"/>
  </ds:schemaRefs>
</ds:datastoreItem>
</file>

<file path=customXml/itemProps4.xml><?xml version="1.0" encoding="utf-8"?>
<ds:datastoreItem xmlns:ds="http://schemas.openxmlformats.org/officeDocument/2006/customXml" ds:itemID="{DFC2922B-7472-4FDC-A851-97B58E062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ffad-baa5-47a7-832e-7508638fe08a"/>
    <ds:schemaRef ds:uri="a4247e86-949e-4dd6-83f2-364ff252a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8506</Words>
  <Characters>48486</Characters>
  <Application>Microsoft Office Word</Application>
  <DocSecurity>0</DocSecurity>
  <Lines>404</Lines>
  <Paragraphs>113</Paragraphs>
  <ScaleCrop>false</ScaleCrop>
  <Company/>
  <LinksUpToDate>false</LinksUpToDate>
  <CharactersWithSpaces>56879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2020-08-28T19:32:00Z</dcterms:created>
  <dcterms:modified xsi:type="dcterms:W3CDTF">2020-08-28T19:32:00Z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0x010100C9A03BD973AD044981EB8C87FE673661</vt:lpwstr>
  </property>
  <property fmtid="{D5CDD505-2E9C-101B-9397-08002B2CF9AE}" pid="3" name="AuthorIds_UIVersion_1536">
    <vt:lpwstr>2338</vt:lpwstr>
  </property>
  <property fmtid="{D5CDD505-2E9C-101B-9397-08002B2CF9AE}" pid="4" name="AuthorIds_UIVersion_2560">
    <vt:lpwstr>2338</vt:lpwstr>
  </property>
</Properties>
</file>